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8624AA">
      <w:pPr>
        <w:keepNext w:val="0"/>
        <w:keepLines w:val="0"/>
        <w:pageBreakBefore w:val="0"/>
        <w:widowControl w:val="0"/>
        <w:kinsoku/>
        <w:wordWrap/>
        <w:overflowPunct/>
        <w:topLinePunct w:val="0"/>
        <w:autoSpaceDE w:val="0"/>
        <w:autoSpaceDN/>
        <w:bidi w:val="0"/>
        <w:adjustRightInd/>
        <w:snapToGrid/>
        <w:spacing w:line="590" w:lineRule="exact"/>
        <w:jc w:val="both"/>
        <w:textAlignment w:val="auto"/>
        <w:rPr>
          <w:rFonts w:hint="default" w:ascii="黑体" w:hAnsi="黑体" w:eastAsia="黑体" w:cs="黑体"/>
          <w:color w:val="auto"/>
          <w:sz w:val="36"/>
          <w:szCs w:val="36"/>
          <w:lang w:val="en-US" w:eastAsia="zh-CN"/>
        </w:rPr>
      </w:pPr>
      <w:r>
        <w:rPr>
          <w:rFonts w:hint="eastAsia" w:ascii="黑体" w:hAnsi="黑体" w:eastAsia="黑体" w:cs="黑体"/>
          <w:color w:val="auto"/>
          <w:sz w:val="36"/>
          <w:szCs w:val="36"/>
          <w:lang w:val="en-US" w:eastAsia="zh-CN"/>
        </w:rPr>
        <w:t>附件</w:t>
      </w:r>
    </w:p>
    <w:p w14:paraId="3168FC29">
      <w:pPr>
        <w:keepNext w:val="0"/>
        <w:keepLines w:val="0"/>
        <w:pageBreakBefore w:val="0"/>
        <w:widowControl w:val="0"/>
        <w:kinsoku/>
        <w:wordWrap/>
        <w:overflowPunct/>
        <w:topLinePunct w:val="0"/>
        <w:autoSpaceDE w:val="0"/>
        <w:autoSpaceDN/>
        <w:bidi w:val="0"/>
        <w:adjustRightInd/>
        <w:snapToGrid/>
        <w:spacing w:line="600" w:lineRule="exact"/>
        <w:jc w:val="center"/>
        <w:textAlignment w:val="auto"/>
        <w:rPr>
          <w:rFonts w:hint="eastAsia" w:ascii="宋体" w:hAnsi="宋体" w:eastAsia="方正小标宋简体" w:cs="方正小标宋简体"/>
          <w:color w:val="auto"/>
          <w:sz w:val="44"/>
          <w:szCs w:val="44"/>
        </w:rPr>
      </w:pPr>
    </w:p>
    <w:p w14:paraId="7833C4AD">
      <w:pPr>
        <w:keepNext w:val="0"/>
        <w:keepLines w:val="0"/>
        <w:pageBreakBefore w:val="0"/>
        <w:widowControl w:val="0"/>
        <w:kinsoku/>
        <w:wordWrap/>
        <w:overflowPunct/>
        <w:topLinePunct w:val="0"/>
        <w:autoSpaceDE w:val="0"/>
        <w:autoSpaceDN/>
        <w:bidi w:val="0"/>
        <w:adjustRightInd/>
        <w:snapToGrid/>
        <w:spacing w:line="600" w:lineRule="exact"/>
        <w:jc w:val="center"/>
        <w:textAlignment w:val="auto"/>
        <w:rPr>
          <w:rFonts w:hint="eastAsia" w:ascii="宋体" w:hAnsi="宋体" w:eastAsia="方正小标宋简体" w:cs="方正小标宋简体"/>
          <w:color w:val="auto"/>
          <w:sz w:val="44"/>
          <w:szCs w:val="44"/>
        </w:rPr>
      </w:pPr>
      <w:r>
        <w:rPr>
          <w:rFonts w:hint="eastAsia" w:ascii="宋体" w:hAnsi="宋体" w:eastAsia="方正小标宋简体" w:cs="方正小标宋简体"/>
          <w:color w:val="auto"/>
          <w:sz w:val="44"/>
          <w:szCs w:val="44"/>
        </w:rPr>
        <w:t>中国（</w:t>
      </w:r>
      <w:r>
        <w:rPr>
          <w:rFonts w:hint="eastAsia" w:ascii="宋体" w:hAnsi="宋体" w:eastAsia="方正小标宋简体" w:cs="方正小标宋简体"/>
          <w:color w:val="auto"/>
          <w:sz w:val="44"/>
          <w:szCs w:val="44"/>
          <w:lang w:eastAsia="zh-CN"/>
        </w:rPr>
        <w:t>三明</w:t>
      </w:r>
      <w:r>
        <w:rPr>
          <w:rFonts w:hint="eastAsia" w:ascii="宋体" w:hAnsi="宋体" w:eastAsia="方正小标宋简体" w:cs="方正小标宋简体"/>
          <w:color w:val="auto"/>
          <w:sz w:val="44"/>
          <w:szCs w:val="44"/>
        </w:rPr>
        <w:t>）跨境电子商务综合试验区</w:t>
      </w:r>
    </w:p>
    <w:p w14:paraId="77AB5B48">
      <w:pPr>
        <w:keepNext w:val="0"/>
        <w:keepLines w:val="0"/>
        <w:pageBreakBefore w:val="0"/>
        <w:widowControl w:val="0"/>
        <w:kinsoku/>
        <w:wordWrap/>
        <w:overflowPunct/>
        <w:topLinePunct w:val="0"/>
        <w:autoSpaceDE w:val="0"/>
        <w:autoSpaceDN/>
        <w:bidi w:val="0"/>
        <w:adjustRightInd/>
        <w:snapToGrid/>
        <w:spacing w:line="600" w:lineRule="exact"/>
        <w:jc w:val="center"/>
        <w:textAlignment w:val="auto"/>
        <w:rPr>
          <w:rFonts w:hint="eastAsia" w:ascii="宋体" w:hAnsi="宋体" w:eastAsia="方正小标宋简体" w:cs="方正小标宋简体"/>
          <w:color w:val="auto"/>
          <w:sz w:val="44"/>
          <w:szCs w:val="44"/>
          <w:lang w:eastAsia="zh-CN"/>
        </w:rPr>
      </w:pPr>
      <w:r>
        <w:rPr>
          <w:rFonts w:hint="eastAsia" w:ascii="宋体" w:hAnsi="宋体" w:eastAsia="方正小标宋简体" w:cs="方正小标宋简体"/>
          <w:color w:val="auto"/>
          <w:sz w:val="44"/>
          <w:szCs w:val="44"/>
        </w:rPr>
        <w:t>实施方案</w:t>
      </w:r>
      <w:r>
        <w:rPr>
          <w:rFonts w:hint="eastAsia" w:ascii="宋体" w:hAnsi="宋体" w:eastAsia="方正小标宋简体" w:cs="方正小标宋简体"/>
          <w:color w:val="auto"/>
          <w:sz w:val="44"/>
          <w:szCs w:val="44"/>
          <w:lang w:eastAsia="zh-CN"/>
        </w:rPr>
        <w:t>（征求意见</w:t>
      </w:r>
      <w:bookmarkStart w:id="0" w:name="_GoBack"/>
      <w:bookmarkEnd w:id="0"/>
      <w:r>
        <w:rPr>
          <w:rFonts w:hint="eastAsia" w:ascii="宋体" w:hAnsi="宋体" w:eastAsia="方正小标宋简体" w:cs="方正小标宋简体"/>
          <w:color w:val="auto"/>
          <w:sz w:val="44"/>
          <w:szCs w:val="44"/>
          <w:lang w:eastAsia="zh-CN"/>
        </w:rPr>
        <w:t>稿）</w:t>
      </w:r>
    </w:p>
    <w:p w14:paraId="63E57D4A">
      <w:pPr>
        <w:keepNext w:val="0"/>
        <w:keepLines w:val="0"/>
        <w:pageBreakBefore w:val="0"/>
        <w:widowControl w:val="0"/>
        <w:kinsoku/>
        <w:wordWrap/>
        <w:overflowPunct/>
        <w:topLinePunct w:val="0"/>
        <w:autoSpaceDE w:val="0"/>
        <w:autoSpaceDN/>
        <w:bidi w:val="0"/>
        <w:adjustRightInd/>
        <w:snapToGrid/>
        <w:spacing w:line="600" w:lineRule="exact"/>
        <w:jc w:val="center"/>
        <w:textAlignment w:val="auto"/>
        <w:rPr>
          <w:rFonts w:hint="default" w:ascii="宋体" w:hAnsi="宋体" w:eastAsia="楷体" w:cs="楷体"/>
          <w:b w:val="0"/>
          <w:i w:val="0"/>
          <w:snapToGrid/>
          <w:color w:val="auto"/>
          <w:sz w:val="32"/>
          <w:szCs w:val="32"/>
          <w:shd w:val="clear" w:color="auto" w:fill="FFFFFF"/>
          <w:lang w:val="en-US" w:eastAsia="zh-CN"/>
        </w:rPr>
      </w:pPr>
    </w:p>
    <w:p w14:paraId="222A1212">
      <w:pPr>
        <w:pStyle w:val="15"/>
        <w:keepNext w:val="0"/>
        <w:keepLines w:val="0"/>
        <w:pageBreakBefore w:val="0"/>
        <w:widowControl w:val="0"/>
        <w:kinsoku/>
        <w:wordWrap/>
        <w:overflowPunct/>
        <w:topLinePunct w:val="0"/>
        <w:autoSpaceDE/>
        <w:autoSpaceDN/>
        <w:bidi w:val="0"/>
        <w:adjustRightInd/>
        <w:snapToGrid/>
        <w:spacing w:line="600" w:lineRule="exact"/>
        <w:rPr>
          <w:rFonts w:hint="eastAsia" w:ascii="宋体" w:hAnsi="宋体" w:eastAsia="仿宋_GB2312" w:cs="仿宋_GB2312"/>
          <w:color w:val="auto"/>
          <w:kern w:val="0"/>
          <w:sz w:val="36"/>
          <w:szCs w:val="36"/>
          <w:highlight w:val="none"/>
          <w:u w:val="none" w:color="auto"/>
          <w:lang w:val="en-US" w:eastAsia="zh-CN"/>
        </w:rPr>
      </w:pPr>
      <w:r>
        <w:rPr>
          <w:rFonts w:hint="eastAsia" w:ascii="宋体" w:hAnsi="宋体" w:eastAsia="仿宋_GB2312" w:cs="仿宋_GB2312"/>
          <w:color w:val="auto"/>
          <w:kern w:val="0"/>
          <w:sz w:val="36"/>
          <w:szCs w:val="36"/>
          <w:highlight w:val="none"/>
          <w:u w:val="none" w:color="auto"/>
          <w:lang w:val="en-US" w:eastAsia="zh-CN"/>
        </w:rPr>
        <w:t>为贯彻落实《国务院办公厅关于促进跨境电子商务健康快速发展的指导意见》（国办发〔2015〕46号）和《国务院关于同意在海南全岛和秦皇岛等15个城市（地区）设立跨境电子商务综合试验区的批复》（国函〔2025〕40号）</w:t>
      </w:r>
      <w:r>
        <w:rPr>
          <w:rFonts w:hint="eastAsia" w:ascii="宋体" w:hAnsi="宋体" w:cs="仿宋_GB2312"/>
          <w:color w:val="auto"/>
          <w:kern w:val="0"/>
          <w:sz w:val="36"/>
          <w:szCs w:val="36"/>
          <w:highlight w:val="none"/>
          <w:u w:val="none" w:color="auto"/>
          <w:lang w:val="en-US" w:eastAsia="zh-CN"/>
        </w:rPr>
        <w:t>精神，有序推进中国（三明）跨境电子商务综合试验区建设（以下简称“三明综试区”），特制定本实施</w:t>
      </w:r>
      <w:r>
        <w:rPr>
          <w:rFonts w:hint="eastAsia" w:ascii="宋体" w:hAnsi="宋体" w:eastAsia="仿宋_GB2312" w:cs="仿宋_GB2312"/>
          <w:color w:val="auto"/>
          <w:kern w:val="0"/>
          <w:sz w:val="36"/>
          <w:szCs w:val="36"/>
          <w:highlight w:val="none"/>
          <w:u w:val="none" w:color="auto"/>
          <w:lang w:val="en-US" w:eastAsia="zh-CN"/>
        </w:rPr>
        <w:t>方案。</w:t>
      </w:r>
    </w:p>
    <w:p w14:paraId="332A3A54">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720" w:firstLineChars="200"/>
        <w:textAlignment w:val="auto"/>
        <w:rPr>
          <w:rFonts w:hint="eastAsia" w:ascii="黑体" w:hAnsi="黑体" w:eastAsia="黑体" w:cs="黑体"/>
          <w:color w:val="auto"/>
          <w:kern w:val="0"/>
          <w:sz w:val="36"/>
          <w:szCs w:val="36"/>
          <w:highlight w:val="none"/>
          <w:u w:val="none" w:color="auto"/>
          <w:lang w:val="en-US" w:eastAsia="zh-CN" w:bidi="ar-SA"/>
        </w:rPr>
      </w:pPr>
      <w:r>
        <w:rPr>
          <w:rFonts w:hint="eastAsia" w:ascii="黑体" w:hAnsi="黑体" w:eastAsia="黑体" w:cs="黑体"/>
          <w:color w:val="auto"/>
          <w:kern w:val="0"/>
          <w:sz w:val="36"/>
          <w:szCs w:val="36"/>
          <w:highlight w:val="none"/>
          <w:u w:val="none" w:color="auto"/>
          <w:lang w:val="en-US" w:eastAsia="zh-CN" w:bidi="ar-SA"/>
        </w:rPr>
        <w:t>一、总体要求</w:t>
      </w:r>
    </w:p>
    <w:p w14:paraId="359E2843">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楷体" w:hAnsi="楷体" w:eastAsia="楷体" w:cs="楷体"/>
          <w:color w:val="auto"/>
          <w:kern w:val="0"/>
          <w:sz w:val="36"/>
          <w:szCs w:val="36"/>
          <w:highlight w:val="none"/>
          <w:u w:val="none" w:color="auto"/>
          <w:lang w:val="en-US" w:eastAsia="zh-CN" w:bidi="ar-SA"/>
        </w:rPr>
      </w:pPr>
      <w:r>
        <w:rPr>
          <w:rFonts w:hint="eastAsia" w:ascii="楷体" w:hAnsi="楷体" w:eastAsia="楷体" w:cs="楷体"/>
          <w:b/>
          <w:bCs/>
          <w:color w:val="auto"/>
          <w:kern w:val="0"/>
          <w:sz w:val="36"/>
          <w:szCs w:val="36"/>
          <w:highlight w:val="none"/>
          <w:u w:val="none" w:color="auto"/>
          <w:lang w:val="en-US" w:eastAsia="zh-CN" w:bidi="ar-SA"/>
        </w:rPr>
        <w:t>（一）指导思想</w:t>
      </w:r>
    </w:p>
    <w:p w14:paraId="1DD4260E">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宋体" w:hAnsi="宋体" w:eastAsia="仿宋_GB2312" w:cs="仿宋_GB2312"/>
          <w:color w:val="auto"/>
          <w:kern w:val="0"/>
          <w:sz w:val="36"/>
          <w:szCs w:val="36"/>
          <w:highlight w:val="none"/>
          <w:u w:val="none" w:color="auto"/>
          <w:lang w:val="en-US" w:eastAsia="zh-CN" w:bidi="ar-SA"/>
        </w:rPr>
        <w:t>以习近平新时代中国特色社会主义思想为指导，全面贯彻党的二十大和二十届二中、三中全会精神，按照党中央、国务院决策部署，围绕构建“以国内大循环为主体、国内国际双循环相互促进”的新发展格局，复制推广综合试验区成熟经验做法，充分发挥跨境电商在稳外贸、促转型等方面的作用，致力于打造一个具有三明特色的跨境电商产业链和生态圈。</w:t>
      </w:r>
    </w:p>
    <w:p w14:paraId="7CB2D729">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楷体" w:hAnsi="楷体" w:eastAsia="楷体" w:cs="楷体"/>
          <w:color w:val="auto"/>
          <w:kern w:val="0"/>
          <w:sz w:val="36"/>
          <w:szCs w:val="36"/>
          <w:highlight w:val="none"/>
          <w:u w:val="none" w:color="auto"/>
          <w:lang w:val="en-US" w:eastAsia="zh-CN" w:bidi="ar-SA"/>
        </w:rPr>
      </w:pPr>
      <w:r>
        <w:rPr>
          <w:rFonts w:hint="eastAsia" w:ascii="楷体" w:hAnsi="楷体" w:eastAsia="楷体" w:cs="楷体"/>
          <w:b/>
          <w:bCs/>
          <w:color w:val="auto"/>
          <w:kern w:val="0"/>
          <w:sz w:val="36"/>
          <w:szCs w:val="36"/>
          <w:highlight w:val="none"/>
          <w:u w:val="none" w:color="auto"/>
          <w:lang w:val="en-US" w:eastAsia="zh-CN" w:bidi="ar-SA"/>
        </w:rPr>
        <w:t>（二）基本原则</w:t>
      </w:r>
    </w:p>
    <w:p w14:paraId="58442199">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jc w:val="left"/>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宋体" w:hAnsi="宋体" w:eastAsia="仿宋_GB2312" w:cs="仿宋_GB2312"/>
          <w:b/>
          <w:bCs/>
          <w:color w:val="auto"/>
          <w:kern w:val="0"/>
          <w:sz w:val="36"/>
          <w:szCs w:val="36"/>
          <w:highlight w:val="none"/>
          <w:u w:val="none" w:color="auto"/>
          <w:lang w:val="en-US" w:eastAsia="zh-CN" w:bidi="ar-SA"/>
        </w:rPr>
        <w:t>1.坚持政府推动、市场主导。</w:t>
      </w:r>
      <w:r>
        <w:rPr>
          <w:rFonts w:hint="eastAsia" w:ascii="宋体" w:hAnsi="宋体" w:eastAsia="仿宋_GB2312" w:cs="仿宋_GB2312"/>
          <w:color w:val="auto"/>
          <w:kern w:val="0"/>
          <w:sz w:val="36"/>
          <w:szCs w:val="36"/>
          <w:highlight w:val="none"/>
          <w:u w:val="none" w:color="auto"/>
          <w:lang w:val="en-US" w:eastAsia="zh-CN" w:bidi="ar-SA"/>
        </w:rPr>
        <w:t>强化政府在产业规划、</w:t>
      </w:r>
      <w:r>
        <w:rPr>
          <w:rFonts w:hint="default" w:ascii="宋体" w:hAnsi="宋体" w:eastAsia="仿宋_GB2312" w:cs="仿宋_GB2312"/>
          <w:color w:val="auto"/>
          <w:kern w:val="0"/>
          <w:sz w:val="36"/>
          <w:szCs w:val="36"/>
          <w:highlight w:val="none"/>
          <w:u w:val="none" w:color="auto"/>
          <w:lang w:val="en" w:eastAsia="zh-CN" w:bidi="ar-SA"/>
        </w:rPr>
        <w:t>资金</w:t>
      </w:r>
      <w:r>
        <w:rPr>
          <w:rFonts w:hint="eastAsia" w:ascii="宋体" w:hAnsi="宋体" w:eastAsia="仿宋_GB2312" w:cs="仿宋_GB2312"/>
          <w:color w:val="auto"/>
          <w:kern w:val="0"/>
          <w:sz w:val="36"/>
          <w:szCs w:val="36"/>
          <w:highlight w:val="none"/>
          <w:u w:val="none" w:color="auto"/>
          <w:lang w:val="en-US" w:eastAsia="zh-CN" w:bidi="ar-SA"/>
        </w:rPr>
        <w:t>扶持、环境优化、人才引育等方面的引导和推动作用，在新业态孵化、生态圈打造、价值链提升、现代化物流体系构建中提供重要基础支撑和要素供给。发挥市场在资源配置中的决定性作用，强化企业在发展中的主体地位，推动有效市场和有为政府更好结合。</w:t>
      </w:r>
    </w:p>
    <w:p w14:paraId="4109EA69">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jc w:val="left"/>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宋体" w:hAnsi="宋体" w:eastAsia="仿宋_GB2312" w:cs="仿宋_GB2312"/>
          <w:b/>
          <w:bCs/>
          <w:color w:val="auto"/>
          <w:kern w:val="0"/>
          <w:sz w:val="36"/>
          <w:szCs w:val="36"/>
          <w:highlight w:val="none"/>
          <w:u w:val="none" w:color="auto"/>
          <w:lang w:val="en-US" w:eastAsia="zh-CN" w:bidi="ar-SA"/>
        </w:rPr>
        <w:t>2.坚持扩大出口、优化进口</w:t>
      </w:r>
      <w:r>
        <w:rPr>
          <w:rFonts w:hint="eastAsia" w:ascii="宋体" w:hAnsi="宋体" w:eastAsia="仿宋_GB2312" w:cs="仿宋_GB2312"/>
          <w:color w:val="auto"/>
          <w:kern w:val="0"/>
          <w:sz w:val="36"/>
          <w:szCs w:val="36"/>
          <w:highlight w:val="none"/>
          <w:u w:val="none" w:color="auto"/>
          <w:lang w:val="en-US" w:eastAsia="zh-CN" w:bidi="ar-SA"/>
        </w:rPr>
        <w:t>。推进跨境电商与三明优势产业加速融合，推动出口提质增效。优化跨境电商进口监管，推动高品质商品进口，促进消费升级。推动三明自主品牌国际化，实现外贸稳增长、优结构、增活力。</w:t>
      </w:r>
    </w:p>
    <w:p w14:paraId="2EB1B667">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宋体" w:hAnsi="宋体" w:eastAsia="仿宋_GB2312" w:cs="仿宋_GB2312"/>
          <w:b/>
          <w:bCs/>
          <w:color w:val="auto"/>
          <w:kern w:val="0"/>
          <w:sz w:val="36"/>
          <w:szCs w:val="36"/>
          <w:highlight w:val="none"/>
          <w:u w:val="none" w:color="auto"/>
          <w:lang w:val="en-US" w:eastAsia="zh-CN" w:bidi="ar-SA"/>
        </w:rPr>
        <w:t>3.坚持循序渐进、融合发展。</w:t>
      </w:r>
      <w:r>
        <w:rPr>
          <w:rFonts w:hint="eastAsia" w:ascii="宋体" w:hAnsi="宋体" w:eastAsia="仿宋_GB2312" w:cs="仿宋_GB2312"/>
          <w:color w:val="auto"/>
          <w:kern w:val="0"/>
          <w:sz w:val="36"/>
          <w:szCs w:val="36"/>
          <w:highlight w:val="none"/>
          <w:u w:val="none" w:color="auto"/>
          <w:lang w:val="en-US" w:eastAsia="zh-CN" w:bidi="ar-SA"/>
        </w:rPr>
        <w:t>按照国家综试区建设的总体要求，发挥三明制造业集群优势，促进跨境电商出口与进口</w:t>
      </w:r>
      <w:r>
        <w:rPr>
          <w:rFonts w:hint="default" w:ascii="宋体" w:hAnsi="宋体" w:eastAsia="仿宋_GB2312" w:cs="仿宋_GB2312"/>
          <w:color w:val="auto"/>
          <w:kern w:val="0"/>
          <w:sz w:val="36"/>
          <w:szCs w:val="36"/>
          <w:highlight w:val="none"/>
          <w:u w:val="none" w:color="auto"/>
          <w:lang w:val="en" w:eastAsia="zh-CN" w:bidi="ar-SA"/>
        </w:rPr>
        <w:t>健康</w:t>
      </w:r>
      <w:r>
        <w:rPr>
          <w:rFonts w:hint="eastAsia" w:ascii="宋体" w:hAnsi="宋体" w:eastAsia="仿宋_GB2312" w:cs="仿宋_GB2312"/>
          <w:color w:val="auto"/>
          <w:kern w:val="0"/>
          <w:sz w:val="36"/>
          <w:szCs w:val="36"/>
          <w:highlight w:val="none"/>
          <w:u w:val="none" w:color="auto"/>
          <w:lang w:val="en-US" w:eastAsia="zh-CN" w:bidi="ar-SA"/>
        </w:rPr>
        <w:t>发展，跨境电商各要素有序自由流动和资源高效配置，突出高效服务、人才支撑、法治保障，用好用足</w:t>
      </w:r>
      <w:r>
        <w:rPr>
          <w:rFonts w:hint="eastAsia" w:ascii="宋体" w:hAnsi="宋体" w:eastAsia="仿宋_GB2312" w:cs="仿宋_GB2312"/>
          <w:color w:val="auto"/>
          <w:spacing w:val="-11"/>
          <w:kern w:val="0"/>
          <w:sz w:val="36"/>
          <w:szCs w:val="36"/>
          <w:highlight w:val="none"/>
          <w:u w:val="none" w:color="auto"/>
          <w:lang w:val="en-US" w:eastAsia="zh-CN" w:bidi="ar-SA"/>
        </w:rPr>
        <w:t>用活相关政策措施，确保三明市跨境电子商务发展提质增效。</w:t>
      </w:r>
    </w:p>
    <w:p w14:paraId="4BF4552D">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楷体" w:hAnsi="楷体" w:eastAsia="楷体" w:cs="楷体"/>
          <w:b/>
          <w:bCs/>
          <w:color w:val="auto"/>
          <w:kern w:val="0"/>
          <w:sz w:val="36"/>
          <w:szCs w:val="36"/>
          <w:highlight w:val="none"/>
          <w:u w:val="none" w:color="auto"/>
          <w:lang w:val="en-US" w:eastAsia="zh-CN" w:bidi="ar-SA"/>
        </w:rPr>
      </w:pPr>
      <w:r>
        <w:rPr>
          <w:rFonts w:hint="eastAsia" w:ascii="楷体" w:hAnsi="楷体" w:eastAsia="楷体" w:cs="楷体"/>
          <w:b/>
          <w:bCs/>
          <w:color w:val="auto"/>
          <w:kern w:val="0"/>
          <w:sz w:val="36"/>
          <w:szCs w:val="36"/>
          <w:highlight w:val="none"/>
          <w:u w:val="none" w:color="auto"/>
          <w:lang w:val="en-US" w:eastAsia="zh-CN" w:bidi="ar-SA"/>
        </w:rPr>
        <w:t>（三）发展目标</w:t>
      </w:r>
    </w:p>
    <w:p w14:paraId="705E15B0">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default" w:ascii="宋体" w:hAnsi="宋体" w:eastAsia="仿宋_GB2312" w:cs="仿宋_GB2312"/>
          <w:color w:val="auto"/>
          <w:kern w:val="0"/>
          <w:sz w:val="36"/>
          <w:szCs w:val="36"/>
          <w:highlight w:val="none"/>
          <w:u w:val="none" w:color="auto"/>
          <w:lang w:val="en-US" w:eastAsia="zh-CN" w:bidi="ar-SA"/>
        </w:rPr>
      </w:pPr>
      <w:r>
        <w:rPr>
          <w:rFonts w:hint="default" w:ascii="宋体" w:hAnsi="宋体" w:eastAsia="仿宋_GB2312" w:cs="仿宋_GB2312"/>
          <w:color w:val="auto"/>
          <w:kern w:val="0"/>
          <w:sz w:val="36"/>
          <w:szCs w:val="36"/>
          <w:highlight w:val="none"/>
          <w:u w:val="none" w:color="auto"/>
          <w:lang w:val="en-US" w:eastAsia="zh-CN" w:bidi="ar-SA"/>
        </w:rPr>
        <w:t>经过3</w:t>
      </w:r>
      <w:r>
        <w:rPr>
          <w:rFonts w:hint="eastAsia" w:ascii="宋体" w:hAnsi="宋体" w:eastAsia="仿宋_GB2312" w:cs="仿宋_GB2312"/>
          <w:color w:val="auto"/>
          <w:kern w:val="0"/>
          <w:sz w:val="36"/>
          <w:szCs w:val="36"/>
          <w:highlight w:val="none"/>
          <w:u w:val="none" w:color="auto"/>
          <w:lang w:val="en-US" w:eastAsia="zh-CN" w:bidi="ar-SA"/>
        </w:rPr>
        <w:t>—</w:t>
      </w:r>
      <w:r>
        <w:rPr>
          <w:rFonts w:hint="default" w:ascii="宋体" w:hAnsi="宋体" w:eastAsia="仿宋_GB2312" w:cs="仿宋_GB2312"/>
          <w:color w:val="auto"/>
          <w:kern w:val="0"/>
          <w:sz w:val="36"/>
          <w:szCs w:val="36"/>
          <w:highlight w:val="none"/>
          <w:u w:val="none" w:color="auto"/>
          <w:lang w:val="en-US" w:eastAsia="zh-CN" w:bidi="ar-SA"/>
        </w:rPr>
        <w:t>5年的改革试验，以</w:t>
      </w:r>
      <w:r>
        <w:rPr>
          <w:rFonts w:hint="eastAsia" w:ascii="宋体" w:hAnsi="宋体" w:eastAsia="仿宋_GB2312" w:cs="仿宋_GB2312"/>
          <w:color w:val="auto"/>
          <w:kern w:val="0"/>
          <w:sz w:val="36"/>
          <w:szCs w:val="36"/>
          <w:highlight w:val="none"/>
          <w:u w:val="none" w:color="auto"/>
          <w:lang w:val="en-US" w:eastAsia="zh-CN" w:bidi="ar-SA"/>
        </w:rPr>
        <w:t>三明</w:t>
      </w:r>
      <w:r>
        <w:rPr>
          <w:rFonts w:hint="default" w:ascii="宋体" w:hAnsi="宋体" w:eastAsia="仿宋_GB2312" w:cs="仿宋_GB2312"/>
          <w:color w:val="auto"/>
          <w:kern w:val="0"/>
          <w:sz w:val="36"/>
          <w:szCs w:val="36"/>
          <w:highlight w:val="none"/>
          <w:u w:val="none" w:color="auto"/>
          <w:lang w:val="en-US" w:eastAsia="zh-CN" w:bidi="ar-SA"/>
        </w:rPr>
        <w:t>陆地港、中关村科技园为支撑，力争把</w:t>
      </w:r>
      <w:r>
        <w:rPr>
          <w:rFonts w:hint="eastAsia" w:ascii="宋体" w:hAnsi="宋体" w:eastAsia="仿宋_GB2312" w:cs="仿宋_GB2312"/>
          <w:color w:val="auto"/>
          <w:kern w:val="0"/>
          <w:sz w:val="36"/>
          <w:szCs w:val="36"/>
          <w:highlight w:val="none"/>
          <w:u w:val="none" w:color="auto"/>
          <w:lang w:val="en-US" w:eastAsia="zh-CN" w:bidi="ar-SA"/>
        </w:rPr>
        <w:t>三明</w:t>
      </w:r>
      <w:r>
        <w:rPr>
          <w:rFonts w:hint="default" w:ascii="宋体" w:hAnsi="宋体" w:eastAsia="仿宋_GB2312" w:cs="仿宋_GB2312"/>
          <w:color w:val="auto"/>
          <w:kern w:val="0"/>
          <w:sz w:val="36"/>
          <w:szCs w:val="36"/>
          <w:highlight w:val="none"/>
          <w:u w:val="none" w:color="auto"/>
          <w:lang w:val="en-US" w:eastAsia="zh-CN" w:bidi="ar-SA"/>
        </w:rPr>
        <w:t>综试区建成“线上集成服务”和“线下综合园区”平台相结合的投资贸易便利、监管服务高效、</w:t>
      </w:r>
      <w:r>
        <w:rPr>
          <w:rFonts w:hint="eastAsia" w:ascii="宋体" w:hAnsi="宋体" w:eastAsia="仿宋_GB2312" w:cs="仿宋_GB2312"/>
          <w:color w:val="auto"/>
          <w:kern w:val="0"/>
          <w:sz w:val="36"/>
          <w:szCs w:val="36"/>
          <w:highlight w:val="none"/>
          <w:u w:val="none" w:color="auto"/>
          <w:lang w:val="en-US" w:eastAsia="zh-CN" w:bidi="ar-SA"/>
        </w:rPr>
        <w:t>法治环境</w:t>
      </w:r>
      <w:r>
        <w:rPr>
          <w:rFonts w:hint="default" w:ascii="宋体" w:hAnsi="宋体" w:eastAsia="仿宋_GB2312" w:cs="仿宋_GB2312"/>
          <w:color w:val="auto"/>
          <w:kern w:val="0"/>
          <w:sz w:val="36"/>
          <w:szCs w:val="36"/>
          <w:highlight w:val="none"/>
          <w:u w:val="none" w:color="auto"/>
          <w:lang w:val="en-US" w:eastAsia="zh-CN" w:bidi="ar-SA"/>
        </w:rPr>
        <w:t>规范的</w:t>
      </w:r>
      <w:r>
        <w:rPr>
          <w:rFonts w:hint="eastAsia" w:ascii="宋体" w:hAnsi="宋体" w:eastAsia="仿宋_GB2312" w:cs="仿宋_GB2312"/>
          <w:color w:val="auto"/>
          <w:kern w:val="0"/>
          <w:sz w:val="36"/>
          <w:szCs w:val="36"/>
          <w:highlight w:val="none"/>
          <w:u w:val="none" w:color="auto"/>
          <w:lang w:val="en-US" w:eastAsia="zh-CN" w:bidi="ar-SA"/>
        </w:rPr>
        <w:t>综试区</w:t>
      </w:r>
      <w:r>
        <w:rPr>
          <w:rFonts w:hint="default" w:ascii="宋体" w:hAnsi="宋体" w:eastAsia="仿宋_GB2312" w:cs="仿宋_GB2312"/>
          <w:color w:val="auto"/>
          <w:kern w:val="0"/>
          <w:sz w:val="36"/>
          <w:szCs w:val="36"/>
          <w:highlight w:val="none"/>
          <w:u w:val="none" w:color="auto"/>
          <w:lang w:val="en" w:eastAsia="zh-CN" w:bidi="ar-SA"/>
        </w:rPr>
        <w:t>。</w:t>
      </w:r>
      <w:r>
        <w:rPr>
          <w:rFonts w:hint="default" w:ascii="宋体" w:hAnsi="宋体" w:eastAsia="仿宋_GB2312" w:cs="仿宋_GB2312"/>
          <w:color w:val="auto"/>
          <w:kern w:val="0"/>
          <w:sz w:val="36"/>
          <w:szCs w:val="36"/>
          <w:highlight w:val="none"/>
          <w:u w:val="none" w:color="auto"/>
          <w:lang w:val="en-US" w:eastAsia="zh-CN" w:bidi="ar-SA"/>
        </w:rPr>
        <w:t>完善</w:t>
      </w:r>
      <w:r>
        <w:rPr>
          <w:rFonts w:hint="eastAsia" w:ascii="宋体" w:hAnsi="宋体" w:eastAsia="仿宋_GB2312" w:cs="仿宋_GB2312"/>
          <w:color w:val="auto"/>
          <w:kern w:val="0"/>
          <w:sz w:val="36"/>
          <w:szCs w:val="36"/>
          <w:highlight w:val="none"/>
          <w:u w:val="none" w:color="auto"/>
          <w:lang w:val="en-US" w:eastAsia="zh-CN" w:bidi="ar-SA"/>
        </w:rPr>
        <w:t>信息共享、</w:t>
      </w:r>
      <w:r>
        <w:rPr>
          <w:rFonts w:hint="default" w:ascii="宋体" w:hAnsi="宋体" w:eastAsia="仿宋_GB2312" w:cs="仿宋_GB2312"/>
          <w:color w:val="auto"/>
          <w:kern w:val="0"/>
          <w:sz w:val="36"/>
          <w:szCs w:val="36"/>
          <w:highlight w:val="none"/>
          <w:u w:val="none" w:color="auto"/>
          <w:lang w:val="en-US" w:eastAsia="zh-CN" w:bidi="ar-SA"/>
        </w:rPr>
        <w:t>金融服务、</w:t>
      </w:r>
      <w:r>
        <w:rPr>
          <w:rFonts w:hint="eastAsia" w:ascii="宋体" w:hAnsi="宋体" w:eastAsia="仿宋_GB2312" w:cs="仿宋_GB2312"/>
          <w:color w:val="auto"/>
          <w:kern w:val="0"/>
          <w:sz w:val="36"/>
          <w:szCs w:val="36"/>
          <w:highlight w:val="none"/>
          <w:u w:val="none" w:color="auto"/>
          <w:lang w:val="en-US" w:eastAsia="zh-CN" w:bidi="ar-SA"/>
        </w:rPr>
        <w:t>智慧</w:t>
      </w:r>
      <w:r>
        <w:rPr>
          <w:rFonts w:hint="default" w:ascii="宋体" w:hAnsi="宋体" w:eastAsia="仿宋_GB2312" w:cs="仿宋_GB2312"/>
          <w:color w:val="auto"/>
          <w:kern w:val="0"/>
          <w:sz w:val="36"/>
          <w:szCs w:val="36"/>
          <w:highlight w:val="none"/>
          <w:u w:val="none" w:color="auto"/>
          <w:lang w:val="en-US" w:eastAsia="zh-CN" w:bidi="ar-SA"/>
        </w:rPr>
        <w:t>物流、</w:t>
      </w:r>
      <w:r>
        <w:rPr>
          <w:rFonts w:hint="eastAsia" w:ascii="宋体" w:hAnsi="宋体" w:eastAsia="仿宋_GB2312" w:cs="仿宋_GB2312"/>
          <w:color w:val="auto"/>
          <w:kern w:val="0"/>
          <w:sz w:val="36"/>
          <w:szCs w:val="36"/>
          <w:highlight w:val="none"/>
          <w:u w:val="none" w:color="auto"/>
          <w:lang w:val="en-US" w:eastAsia="zh-CN" w:bidi="ar-SA"/>
        </w:rPr>
        <w:t>信用保障</w:t>
      </w:r>
      <w:r>
        <w:rPr>
          <w:rFonts w:hint="default" w:ascii="宋体" w:hAnsi="宋体" w:eastAsia="仿宋_GB2312" w:cs="仿宋_GB2312"/>
          <w:color w:val="auto"/>
          <w:kern w:val="0"/>
          <w:sz w:val="36"/>
          <w:szCs w:val="36"/>
          <w:highlight w:val="none"/>
          <w:u w:val="none" w:color="auto"/>
          <w:lang w:val="en-US" w:eastAsia="zh-CN" w:bidi="ar-SA"/>
        </w:rPr>
        <w:t>、统计监测、风险防</w:t>
      </w:r>
      <w:r>
        <w:rPr>
          <w:rFonts w:hint="eastAsia" w:ascii="宋体" w:hAnsi="宋体" w:eastAsia="仿宋_GB2312" w:cs="仿宋_GB2312"/>
          <w:color w:val="auto"/>
          <w:kern w:val="0"/>
          <w:sz w:val="36"/>
          <w:szCs w:val="36"/>
          <w:highlight w:val="none"/>
          <w:u w:val="none" w:color="auto"/>
          <w:lang w:val="en-US" w:eastAsia="zh-CN" w:bidi="ar-SA"/>
        </w:rPr>
        <w:t>范六</w:t>
      </w:r>
      <w:r>
        <w:rPr>
          <w:rFonts w:hint="default" w:ascii="宋体" w:hAnsi="宋体" w:eastAsia="仿宋_GB2312" w:cs="仿宋_GB2312"/>
          <w:color w:val="auto"/>
          <w:kern w:val="0"/>
          <w:sz w:val="36"/>
          <w:szCs w:val="36"/>
          <w:highlight w:val="none"/>
          <w:u w:val="none" w:color="auto"/>
          <w:lang w:val="en-US" w:eastAsia="zh-CN" w:bidi="ar-SA"/>
        </w:rPr>
        <w:t>大服务体系</w:t>
      </w:r>
      <w:r>
        <w:rPr>
          <w:rFonts w:hint="eastAsia" w:ascii="宋体" w:hAnsi="宋体" w:eastAsia="仿宋_GB2312" w:cs="仿宋_GB2312"/>
          <w:color w:val="auto"/>
          <w:kern w:val="0"/>
          <w:sz w:val="36"/>
          <w:szCs w:val="36"/>
          <w:highlight w:val="none"/>
          <w:u w:val="none" w:color="auto"/>
          <w:lang w:val="en-US" w:eastAsia="zh-CN" w:bidi="ar-SA"/>
        </w:rPr>
        <w:t>，</w:t>
      </w:r>
      <w:r>
        <w:rPr>
          <w:rFonts w:hint="default" w:ascii="宋体" w:hAnsi="宋体" w:eastAsia="仿宋_GB2312" w:cs="仿宋_GB2312"/>
          <w:color w:val="auto"/>
          <w:kern w:val="0"/>
          <w:sz w:val="36"/>
          <w:szCs w:val="36"/>
          <w:highlight w:val="none"/>
          <w:u w:val="none" w:color="auto"/>
          <w:lang w:val="en-US" w:eastAsia="zh-CN" w:bidi="ar-SA"/>
        </w:rPr>
        <w:t>引进培育一批有竞争力的跨境电子商务主体，加快三明市外贸出口模式创新和产业升级，国际影响力显著增强。扶持100家以上跨境电商企业，创建若干个跨境电商自主出口品牌，形成线上线下融合、多模式并存的发展格局，成为省内乃至全国知名的跨境电商示范基地</w:t>
      </w:r>
      <w:r>
        <w:rPr>
          <w:rFonts w:hint="default" w:ascii="宋体" w:hAnsi="宋体" w:eastAsia="仿宋_GB2312" w:cs="仿宋_GB2312"/>
          <w:color w:val="auto"/>
          <w:kern w:val="0"/>
          <w:sz w:val="36"/>
          <w:szCs w:val="36"/>
          <w:highlight w:val="none"/>
          <w:u w:val="none" w:color="auto"/>
          <w:lang w:val="en" w:eastAsia="zh-CN" w:bidi="ar-SA"/>
        </w:rPr>
        <w:t>。</w:t>
      </w:r>
      <w:r>
        <w:rPr>
          <w:rFonts w:hint="default" w:ascii="宋体" w:hAnsi="宋体" w:eastAsia="仿宋_GB2312" w:cs="仿宋_GB2312"/>
          <w:color w:val="auto"/>
          <w:kern w:val="0"/>
          <w:sz w:val="36"/>
          <w:szCs w:val="36"/>
          <w:highlight w:val="none"/>
          <w:u w:val="none" w:color="auto"/>
          <w:lang w:val="en-US" w:eastAsia="zh-CN" w:bidi="ar-SA"/>
        </w:rPr>
        <w:t>至2026年底，全市跨境电商年交易额突破20亿元人民币。</w:t>
      </w:r>
    </w:p>
    <w:p w14:paraId="63ED4892">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720" w:firstLineChars="200"/>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黑体" w:hAnsi="黑体" w:eastAsia="黑体" w:cs="黑体"/>
          <w:color w:val="auto"/>
          <w:kern w:val="0"/>
          <w:sz w:val="36"/>
          <w:szCs w:val="36"/>
          <w:highlight w:val="none"/>
          <w:u w:val="none" w:color="auto"/>
          <w:lang w:val="en-US" w:eastAsia="zh-CN" w:bidi="ar-SA"/>
        </w:rPr>
        <w:t>二、主要任务</w:t>
      </w:r>
    </w:p>
    <w:p w14:paraId="6FF9B437">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楷体" w:hAnsi="楷体" w:eastAsia="楷体" w:cs="楷体"/>
          <w:b/>
          <w:bCs/>
          <w:color w:val="auto"/>
          <w:kern w:val="0"/>
          <w:sz w:val="36"/>
          <w:szCs w:val="36"/>
          <w:highlight w:val="none"/>
          <w:u w:val="none" w:color="auto"/>
          <w:lang w:val="en-US" w:eastAsia="zh-CN" w:bidi="ar-SA"/>
        </w:rPr>
        <w:t>（一）建设线上综合服务平台</w:t>
      </w:r>
    </w:p>
    <w:p w14:paraId="7FA26FC0">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default" w:ascii="宋体" w:hAnsi="宋体" w:eastAsia="仿宋_GB2312" w:cs="仿宋_GB2312"/>
          <w:color w:val="auto"/>
          <w:kern w:val="0"/>
          <w:sz w:val="36"/>
          <w:szCs w:val="36"/>
          <w:highlight w:val="none"/>
          <w:u w:val="none" w:color="auto"/>
          <w:lang w:val="en-US" w:eastAsia="zh-CN" w:bidi="ar-SA"/>
        </w:rPr>
      </w:pPr>
      <w:r>
        <w:rPr>
          <w:rFonts w:hint="default" w:ascii="宋体" w:hAnsi="宋体" w:eastAsia="仿宋_GB2312" w:cs="仿宋_GB2312"/>
          <w:color w:val="auto"/>
          <w:kern w:val="0"/>
          <w:sz w:val="36"/>
          <w:szCs w:val="36"/>
          <w:highlight w:val="none"/>
          <w:u w:val="none" w:color="auto"/>
          <w:lang w:val="en-US" w:eastAsia="zh-CN" w:bidi="ar-SA"/>
        </w:rPr>
        <w:t>推进中国（福建）国际贸易“单一窗口”跨境电子商务服务平台与地方特色功能服务的互联互通，根据海关跨境电子商务数据对接要求和“一点接入、一次申报、数据共享”的原则，对接海关、税务、邮政、外汇、商务、市场监管等部门平台系统，加快“单一窗口”与民航、港口、铁路等行业机构合作对接，为市场主体提供全程“一站式”通关物流信息服务，构建跨境电子商务信息共享机制</w:t>
      </w:r>
      <w:r>
        <w:rPr>
          <w:rFonts w:hint="eastAsia" w:ascii="宋体" w:hAnsi="宋体" w:eastAsia="仿宋_GB2312" w:cs="仿宋_GB2312"/>
          <w:color w:val="auto"/>
          <w:kern w:val="0"/>
          <w:sz w:val="36"/>
          <w:szCs w:val="36"/>
          <w:highlight w:val="none"/>
          <w:u w:val="none" w:color="auto"/>
          <w:lang w:val="en-US" w:eastAsia="zh-CN" w:bidi="ar-SA"/>
        </w:rPr>
        <w:t>。</w:t>
      </w:r>
      <w:r>
        <w:rPr>
          <w:rFonts w:hint="default" w:ascii="宋体" w:hAnsi="宋体" w:eastAsia="仿宋_GB2312" w:cs="仿宋_GB2312"/>
          <w:color w:val="auto"/>
          <w:kern w:val="0"/>
          <w:sz w:val="36"/>
          <w:szCs w:val="36"/>
          <w:highlight w:val="none"/>
          <w:u w:val="none" w:color="auto"/>
          <w:lang w:val="en-US" w:eastAsia="zh-CN" w:bidi="ar-SA"/>
        </w:rPr>
        <w:t>实现电子商务企业、外贸综合服务企业、物流企业、金融机构等跨境电子商务主要经营主体对接“单一窗口”</w:t>
      </w:r>
      <w:r>
        <w:rPr>
          <w:rFonts w:hint="eastAsia" w:ascii="宋体" w:hAnsi="宋体" w:eastAsia="仿宋_GB2312" w:cs="仿宋_GB2312"/>
          <w:color w:val="auto"/>
          <w:kern w:val="0"/>
          <w:sz w:val="36"/>
          <w:szCs w:val="36"/>
          <w:highlight w:val="none"/>
          <w:u w:val="none" w:color="auto"/>
          <w:lang w:val="en-US" w:eastAsia="zh-CN" w:bidi="ar-SA"/>
        </w:rPr>
        <w:t>，</w:t>
      </w:r>
      <w:r>
        <w:rPr>
          <w:rFonts w:hint="default" w:ascii="宋体" w:hAnsi="宋体" w:eastAsia="仿宋_GB2312" w:cs="仿宋_GB2312"/>
          <w:color w:val="auto"/>
          <w:kern w:val="0"/>
          <w:sz w:val="36"/>
          <w:szCs w:val="36"/>
          <w:highlight w:val="none"/>
          <w:u w:val="none" w:color="auto"/>
          <w:lang w:val="en-US" w:eastAsia="zh-CN" w:bidi="ar-SA"/>
        </w:rPr>
        <w:t>推动跨境电子商务备案、通关、结汇、退税申报全程无纸化，打造线上综合服务平台。</w:t>
      </w:r>
    </w:p>
    <w:p w14:paraId="7C9FA690">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楷体" w:hAnsi="楷体" w:eastAsia="楷体" w:cs="楷体"/>
          <w:b/>
          <w:bCs/>
          <w:color w:val="auto"/>
          <w:kern w:val="0"/>
          <w:sz w:val="36"/>
          <w:szCs w:val="36"/>
          <w:highlight w:val="none"/>
          <w:u w:val="none" w:color="auto"/>
          <w:lang w:val="en-US" w:eastAsia="zh-CN" w:bidi="ar-SA"/>
        </w:rPr>
      </w:pPr>
      <w:r>
        <w:rPr>
          <w:rFonts w:hint="eastAsia" w:ascii="楷体" w:hAnsi="楷体" w:eastAsia="楷体" w:cs="楷体"/>
          <w:b/>
          <w:bCs/>
          <w:color w:val="auto"/>
          <w:kern w:val="0"/>
          <w:sz w:val="36"/>
          <w:szCs w:val="36"/>
          <w:highlight w:val="none"/>
          <w:u w:val="none" w:color="auto"/>
          <w:lang w:val="en-US" w:eastAsia="zh-CN" w:bidi="ar-SA"/>
        </w:rPr>
        <w:t>（二）建设线下产业园区平台</w:t>
      </w:r>
    </w:p>
    <w:p w14:paraId="5266EB35">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default" w:ascii="宋体" w:hAnsi="宋体" w:eastAsia="仿宋_GB2312" w:cs="仿宋_GB2312"/>
          <w:color w:val="auto"/>
          <w:kern w:val="0"/>
          <w:sz w:val="36"/>
          <w:szCs w:val="36"/>
          <w:highlight w:val="none"/>
          <w:u w:val="none" w:color="auto"/>
          <w:lang w:val="en-US" w:eastAsia="zh-CN" w:bidi="ar-SA"/>
        </w:rPr>
      </w:pPr>
      <w:r>
        <w:rPr>
          <w:rFonts w:hint="default" w:ascii="宋体" w:hAnsi="宋体" w:eastAsia="仿宋_GB2312" w:cs="仿宋_GB2312"/>
          <w:color w:val="auto"/>
          <w:kern w:val="0"/>
          <w:sz w:val="36"/>
          <w:szCs w:val="36"/>
          <w:highlight w:val="none"/>
          <w:u w:val="none" w:color="auto"/>
          <w:lang w:val="en-US" w:eastAsia="zh-CN" w:bidi="ar-SA"/>
        </w:rPr>
        <w:t>依托现有的产业发展基础，加快发展布局</w:t>
      </w:r>
      <w:r>
        <w:rPr>
          <w:rFonts w:hint="default" w:ascii="宋体" w:hAnsi="宋体" w:eastAsia="仿宋_GB2312" w:cs="仿宋_GB2312"/>
          <w:color w:val="auto"/>
          <w:kern w:val="0"/>
          <w:sz w:val="36"/>
          <w:szCs w:val="36"/>
          <w:highlight w:val="none"/>
          <w:u w:val="none" w:color="auto"/>
          <w:lang w:val="en" w:eastAsia="zh-CN" w:bidi="ar-SA"/>
        </w:rPr>
        <w:t>，</w:t>
      </w:r>
      <w:r>
        <w:rPr>
          <w:rFonts w:hint="default" w:ascii="宋体" w:hAnsi="宋体" w:eastAsia="仿宋_GB2312" w:cs="仿宋_GB2312"/>
          <w:color w:val="auto"/>
          <w:kern w:val="0"/>
          <w:sz w:val="36"/>
          <w:szCs w:val="36"/>
          <w:highlight w:val="none"/>
          <w:u w:val="none" w:color="auto"/>
          <w:lang w:val="en-US" w:eastAsia="zh-CN" w:bidi="ar-SA"/>
        </w:rPr>
        <w:t>形成以</w:t>
      </w:r>
      <w:r>
        <w:rPr>
          <w:rFonts w:hint="eastAsia" w:ascii="宋体" w:hAnsi="宋体" w:eastAsia="仿宋_GB2312" w:cs="仿宋_GB2312"/>
          <w:color w:val="auto"/>
          <w:kern w:val="0"/>
          <w:sz w:val="36"/>
          <w:szCs w:val="36"/>
          <w:highlight w:val="none"/>
          <w:u w:val="none" w:color="auto"/>
          <w:lang w:val="en-US" w:eastAsia="zh-CN" w:bidi="ar-SA"/>
        </w:rPr>
        <w:t>生态新城</w:t>
      </w:r>
      <w:r>
        <w:rPr>
          <w:rFonts w:hint="default" w:ascii="宋体" w:hAnsi="宋体" w:eastAsia="仿宋_GB2312" w:cs="仿宋_GB2312"/>
          <w:color w:val="auto"/>
          <w:kern w:val="0"/>
          <w:sz w:val="36"/>
          <w:szCs w:val="36"/>
          <w:highlight w:val="none"/>
          <w:u w:val="none" w:color="auto"/>
          <w:lang w:val="en-US" w:eastAsia="zh-CN" w:bidi="ar-SA"/>
        </w:rPr>
        <w:t>为核心，</w:t>
      </w:r>
      <w:r>
        <w:rPr>
          <w:rFonts w:hint="eastAsia" w:ascii="宋体" w:hAnsi="宋体" w:eastAsia="仿宋_GB2312" w:cs="仿宋_GB2312"/>
          <w:color w:val="auto"/>
          <w:kern w:val="0"/>
          <w:sz w:val="36"/>
          <w:szCs w:val="36"/>
          <w:highlight w:val="none"/>
          <w:u w:val="none" w:color="auto"/>
          <w:lang w:val="en-US" w:eastAsia="zh-CN" w:bidi="ar-SA"/>
        </w:rPr>
        <w:t>永安市闽中公铁联运物流基地、明溪县欧起航电商直播及商品物流基地、建宁县（闽赣）国际陆港等为辅的</w:t>
      </w:r>
      <w:r>
        <w:rPr>
          <w:rFonts w:hint="default" w:ascii="宋体" w:hAnsi="宋体" w:eastAsia="仿宋_GB2312" w:cs="仿宋_GB2312"/>
          <w:color w:val="auto"/>
          <w:kern w:val="0"/>
          <w:sz w:val="36"/>
          <w:szCs w:val="36"/>
          <w:highlight w:val="none"/>
          <w:u w:val="none" w:color="auto"/>
          <w:lang w:val="en-US" w:eastAsia="zh-CN" w:bidi="ar-SA"/>
        </w:rPr>
        <w:t>多个跨境电子商务产业园区相互促进的“1+N”产业发展格局。</w:t>
      </w:r>
    </w:p>
    <w:p w14:paraId="461AD030">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default" w:ascii="宋体" w:hAnsi="宋体" w:eastAsia="仿宋_GB2312" w:cs="仿宋_GB2312"/>
          <w:color w:val="auto"/>
          <w:kern w:val="0"/>
          <w:sz w:val="36"/>
          <w:szCs w:val="36"/>
          <w:highlight w:val="none"/>
          <w:u w:val="none" w:color="auto"/>
          <w:lang w:val="en-US" w:eastAsia="zh-CN" w:bidi="ar-SA"/>
        </w:rPr>
      </w:pPr>
      <w:r>
        <w:rPr>
          <w:rFonts w:hint="default" w:ascii="宋体" w:hAnsi="宋体" w:eastAsia="仿宋_GB2312" w:cs="仿宋_GB2312"/>
          <w:color w:val="auto"/>
          <w:kern w:val="0"/>
          <w:sz w:val="36"/>
          <w:szCs w:val="36"/>
          <w:highlight w:val="none"/>
          <w:u w:val="none" w:color="auto"/>
          <w:lang w:val="en-US" w:eastAsia="zh-CN" w:bidi="ar-SA"/>
        </w:rPr>
        <w:t>在</w:t>
      </w:r>
      <w:r>
        <w:rPr>
          <w:rFonts w:hint="eastAsia" w:ascii="宋体" w:hAnsi="宋体" w:eastAsia="仿宋_GB2312" w:cs="仿宋_GB2312"/>
          <w:color w:val="auto"/>
          <w:kern w:val="0"/>
          <w:sz w:val="36"/>
          <w:szCs w:val="36"/>
          <w:highlight w:val="none"/>
          <w:u w:val="none" w:color="auto"/>
          <w:lang w:val="en-US" w:eastAsia="zh-CN" w:bidi="ar-SA"/>
        </w:rPr>
        <w:t>生态新城</w:t>
      </w:r>
      <w:r>
        <w:rPr>
          <w:rFonts w:hint="default" w:ascii="宋体" w:hAnsi="宋体" w:eastAsia="仿宋_GB2312" w:cs="仿宋_GB2312"/>
          <w:color w:val="auto"/>
          <w:kern w:val="0"/>
          <w:sz w:val="36"/>
          <w:szCs w:val="36"/>
          <w:highlight w:val="none"/>
          <w:u w:val="none" w:color="auto"/>
          <w:lang w:val="en-US" w:eastAsia="zh-CN" w:bidi="ar-SA"/>
        </w:rPr>
        <w:t>建设</w:t>
      </w:r>
      <w:r>
        <w:rPr>
          <w:rFonts w:hint="eastAsia" w:ascii="宋体" w:hAnsi="宋体" w:eastAsia="仿宋_GB2312" w:cs="仿宋_GB2312"/>
          <w:color w:val="auto"/>
          <w:kern w:val="0"/>
          <w:sz w:val="36"/>
          <w:szCs w:val="36"/>
          <w:highlight w:val="none"/>
          <w:u w:val="none" w:color="auto"/>
          <w:lang w:val="en-US" w:eastAsia="zh-CN" w:bidi="ar-SA"/>
        </w:rPr>
        <w:t>三明</w:t>
      </w:r>
      <w:r>
        <w:rPr>
          <w:rFonts w:hint="default" w:ascii="宋体" w:hAnsi="宋体" w:eastAsia="仿宋_GB2312" w:cs="仿宋_GB2312"/>
          <w:color w:val="auto"/>
          <w:kern w:val="0"/>
          <w:sz w:val="36"/>
          <w:szCs w:val="36"/>
          <w:highlight w:val="none"/>
          <w:u w:val="none" w:color="auto"/>
          <w:lang w:val="en-US" w:eastAsia="zh-CN" w:bidi="ar-SA"/>
        </w:rPr>
        <w:t>跨境电商海关监管功能区</w:t>
      </w:r>
      <w:r>
        <w:rPr>
          <w:rFonts w:hint="eastAsia" w:ascii="宋体" w:hAnsi="宋体" w:eastAsia="仿宋_GB2312" w:cs="仿宋_GB2312"/>
          <w:color w:val="auto"/>
          <w:kern w:val="0"/>
          <w:sz w:val="36"/>
          <w:szCs w:val="36"/>
          <w:highlight w:val="none"/>
          <w:u w:val="none" w:color="auto"/>
          <w:lang w:val="en-US" w:eastAsia="zh-CN" w:bidi="ar-SA"/>
        </w:rPr>
        <w:t>、三明</w:t>
      </w:r>
      <w:r>
        <w:rPr>
          <w:rFonts w:hint="default" w:ascii="宋体" w:hAnsi="宋体" w:eastAsia="仿宋_GB2312" w:cs="仿宋_GB2312"/>
          <w:color w:val="auto"/>
          <w:kern w:val="0"/>
          <w:sz w:val="36"/>
          <w:szCs w:val="36"/>
          <w:highlight w:val="none"/>
          <w:u w:val="none" w:color="auto"/>
          <w:lang w:val="en-US" w:eastAsia="zh-CN" w:bidi="ar-SA"/>
        </w:rPr>
        <w:t>进出口商品展示体验中心、</w:t>
      </w:r>
      <w:r>
        <w:rPr>
          <w:rFonts w:hint="eastAsia" w:ascii="宋体" w:hAnsi="宋体" w:eastAsia="仿宋_GB2312" w:cs="仿宋_GB2312"/>
          <w:color w:val="auto"/>
          <w:kern w:val="0"/>
          <w:sz w:val="36"/>
          <w:szCs w:val="36"/>
          <w:highlight w:val="none"/>
          <w:u w:val="none" w:color="auto"/>
          <w:lang w:val="en-US" w:eastAsia="zh-CN" w:bidi="ar-SA"/>
        </w:rPr>
        <w:t>三明</w:t>
      </w:r>
      <w:r>
        <w:rPr>
          <w:rFonts w:hint="default" w:ascii="宋体" w:hAnsi="宋体" w:eastAsia="仿宋_GB2312" w:cs="仿宋_GB2312"/>
          <w:color w:val="auto"/>
          <w:kern w:val="0"/>
          <w:sz w:val="36"/>
          <w:szCs w:val="36"/>
          <w:highlight w:val="none"/>
          <w:u w:val="none" w:color="auto"/>
          <w:lang w:val="en-US" w:eastAsia="zh-CN" w:bidi="ar-SA"/>
        </w:rPr>
        <w:t>跨境电子商务产业孵化基地，吸引跨境电商产业链企业入驻。大力培育跨境电商主体，推动企业入驻</w:t>
      </w:r>
      <w:r>
        <w:rPr>
          <w:rFonts w:hint="eastAsia" w:ascii="宋体" w:hAnsi="宋体" w:eastAsia="仿宋_GB2312" w:cs="仿宋_GB2312"/>
          <w:strike w:val="0"/>
          <w:dstrike w:val="0"/>
          <w:color w:val="auto"/>
          <w:kern w:val="0"/>
          <w:sz w:val="36"/>
          <w:szCs w:val="36"/>
          <w:highlight w:val="none"/>
          <w:u w:val="none" w:color="auto"/>
          <w:lang w:val="en-US" w:eastAsia="zh-CN" w:bidi="ar-SA"/>
        </w:rPr>
        <w:t>各大</w:t>
      </w:r>
      <w:r>
        <w:rPr>
          <w:rFonts w:hint="default" w:ascii="宋体" w:hAnsi="宋体" w:eastAsia="仿宋_GB2312" w:cs="仿宋_GB2312"/>
          <w:color w:val="auto"/>
          <w:kern w:val="0"/>
          <w:sz w:val="36"/>
          <w:szCs w:val="36"/>
          <w:highlight w:val="none"/>
          <w:u w:val="none" w:color="auto"/>
          <w:lang w:val="en-US" w:eastAsia="zh-CN" w:bidi="ar-SA"/>
        </w:rPr>
        <w:t>跨境电商平台。鼓励各县（市、区）整合本地区跨境电商产业资源，规划发展跨境电商特色产业园区。</w:t>
      </w:r>
    </w:p>
    <w:p w14:paraId="72CF588C">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723" w:firstLineChars="200"/>
        <w:textAlignment w:val="auto"/>
        <w:rPr>
          <w:rFonts w:hint="eastAsia" w:ascii="楷体" w:hAnsi="楷体" w:eastAsia="楷体" w:cs="楷体"/>
          <w:b/>
          <w:bCs/>
          <w:color w:val="auto"/>
          <w:kern w:val="0"/>
          <w:sz w:val="36"/>
          <w:szCs w:val="36"/>
          <w:highlight w:val="none"/>
          <w:u w:val="none" w:color="auto"/>
          <w:lang w:val="en-US" w:eastAsia="zh-CN" w:bidi="ar-SA"/>
        </w:rPr>
      </w:pPr>
      <w:r>
        <w:rPr>
          <w:rFonts w:hint="eastAsia" w:ascii="楷体" w:hAnsi="楷体" w:eastAsia="楷体" w:cs="楷体"/>
          <w:b/>
          <w:bCs/>
          <w:color w:val="auto"/>
          <w:kern w:val="0"/>
          <w:sz w:val="36"/>
          <w:szCs w:val="36"/>
          <w:highlight w:val="none"/>
          <w:u w:val="none" w:color="auto"/>
          <w:lang w:val="en-US" w:eastAsia="zh-CN" w:bidi="ar-SA"/>
        </w:rPr>
        <w:t>（三）建设六大体系</w:t>
      </w:r>
    </w:p>
    <w:p w14:paraId="4E2879F5">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default" w:ascii="宋体" w:hAnsi="宋体" w:eastAsia="仿宋_GB2312" w:cs="仿宋_GB2312"/>
          <w:color w:val="auto"/>
          <w:kern w:val="0"/>
          <w:sz w:val="36"/>
          <w:szCs w:val="36"/>
          <w:highlight w:val="none"/>
          <w:u w:val="none" w:color="auto"/>
          <w:lang w:val="en-US" w:eastAsia="zh-CN" w:bidi="ar-SA"/>
        </w:rPr>
      </w:pPr>
      <w:r>
        <w:rPr>
          <w:rFonts w:hint="eastAsia" w:ascii="宋体" w:hAnsi="宋体" w:eastAsia="仿宋_GB2312" w:cs="仿宋_GB2312"/>
          <w:b/>
          <w:bCs/>
          <w:color w:val="auto"/>
          <w:kern w:val="0"/>
          <w:sz w:val="36"/>
          <w:szCs w:val="36"/>
          <w:highlight w:val="none"/>
          <w:u w:val="none" w:color="auto"/>
          <w:lang w:val="en-US" w:eastAsia="zh-CN" w:bidi="ar-SA"/>
        </w:rPr>
        <w:t>1.信息共享体系。</w:t>
      </w:r>
      <w:r>
        <w:rPr>
          <w:rFonts w:hint="eastAsia" w:ascii="宋体" w:hAnsi="宋体" w:eastAsia="仿宋_GB2312" w:cs="仿宋_GB2312"/>
          <w:color w:val="auto"/>
          <w:kern w:val="0"/>
          <w:sz w:val="36"/>
          <w:szCs w:val="36"/>
          <w:highlight w:val="none"/>
          <w:u w:val="none" w:color="auto"/>
          <w:lang w:val="en-US" w:eastAsia="zh-CN" w:bidi="ar-SA"/>
        </w:rPr>
        <w:t>依托中国（福建）国际贸易“单一窗口”，</w:t>
      </w:r>
      <w:r>
        <w:rPr>
          <w:rFonts w:hint="default" w:ascii="宋体" w:hAnsi="宋体" w:eastAsia="仿宋_GB2312" w:cs="仿宋_GB2312"/>
          <w:color w:val="auto"/>
          <w:kern w:val="0"/>
          <w:sz w:val="36"/>
          <w:szCs w:val="36"/>
          <w:highlight w:val="none"/>
          <w:u w:val="none" w:color="auto"/>
          <w:lang w:val="en-US" w:eastAsia="zh-CN" w:bidi="ar-SA"/>
        </w:rPr>
        <w:t>建立备案企业信息共享库，统一信息标准规范、信息备案认证、信息管理服务，实现企业一次备案、多主体共享、全流程使用。建立商品溯源数据库，汇聚生产、交易、通关、物流、支付、结算及评价等综合信息，实现商品进出口和交易全流程“源头可溯、去向可查、风险可控、责任可究”。建立信息交换共享数据库，实现监管部门、金融机构、跨境电商企业、物流企业之间信息互联互通，为跨境电子商务信息流、资金流、货物流“三流合一”提供数据技术支撑。</w:t>
      </w:r>
    </w:p>
    <w:p w14:paraId="19A71D0E">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宋体" w:hAnsi="宋体" w:eastAsia="仿宋_GB2312" w:cs="仿宋_GB2312"/>
          <w:b/>
          <w:bCs/>
          <w:color w:val="auto"/>
          <w:kern w:val="0"/>
          <w:sz w:val="36"/>
          <w:szCs w:val="36"/>
          <w:highlight w:val="none"/>
          <w:u w:val="none" w:color="auto"/>
          <w:lang w:val="en-US" w:eastAsia="zh-CN" w:bidi="ar-SA"/>
        </w:rPr>
        <w:t>2.金融服务体系。</w:t>
      </w:r>
      <w:r>
        <w:rPr>
          <w:rFonts w:hint="eastAsia" w:ascii="宋体" w:hAnsi="宋体" w:eastAsia="仿宋_GB2312" w:cs="仿宋_GB2312"/>
          <w:color w:val="auto"/>
          <w:kern w:val="0"/>
          <w:sz w:val="36"/>
          <w:szCs w:val="36"/>
          <w:highlight w:val="none"/>
          <w:u w:val="none" w:color="auto"/>
          <w:lang w:val="en-US" w:eastAsia="zh-CN" w:bidi="ar-SA"/>
        </w:rPr>
        <w:t>在风险可控、商业可持续的前提下，鼓励金融机构、非银行支付机构、第三方跨境电子商务平台、外贸综合服务平台开展金融服务创新，为跨境电子商务提供支付结算、融资、保险等金融服务。鼓励开展订单融资、仓单质押、保险理财、账期垫资等一站式跨境电子商务供应链金融服务。支持能够承担相关业务的保险公司与外贸综合服务企业合作，为跨境电子商务企业提供出口信用保险、保单融资、资信评估和海外仓业务金融服务。</w:t>
      </w:r>
    </w:p>
    <w:p w14:paraId="32FE4508">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宋体" w:hAnsi="宋体" w:eastAsia="仿宋_GB2312" w:cs="仿宋_GB2312"/>
          <w:b/>
          <w:bCs/>
          <w:color w:val="auto"/>
          <w:kern w:val="0"/>
          <w:sz w:val="36"/>
          <w:szCs w:val="36"/>
          <w:highlight w:val="none"/>
          <w:u w:val="none" w:color="auto"/>
          <w:lang w:val="en-US" w:eastAsia="zh-CN" w:bidi="ar-SA"/>
        </w:rPr>
        <w:t>3.智慧物流体系。</w:t>
      </w:r>
      <w:r>
        <w:rPr>
          <w:rFonts w:hint="eastAsia" w:ascii="宋体" w:hAnsi="宋体" w:eastAsia="仿宋_GB2312" w:cs="仿宋_GB2312"/>
          <w:color w:val="auto"/>
          <w:kern w:val="0"/>
          <w:sz w:val="36"/>
          <w:szCs w:val="36"/>
          <w:highlight w:val="none"/>
          <w:u w:val="none" w:color="auto"/>
          <w:lang w:val="en-US" w:eastAsia="zh-CN" w:bidi="ar-SA"/>
        </w:rPr>
        <w:t>规划建设跨境电商仓储物流基地，结合三明陆地港、沙县机场、永安市闽中公铁联运物流基地、建宁县（闽赣）国际陆港等交通物流优势资源，建设多式联运服务平台，建立与上海、福州、厦门、广州、宁波等省内外主要空港、海港及国内发达口岸的联动机制，打通清关通道，整合邮政、国际快递、物流专线等资源，实现运输资源的高效整合和仓配无缝对接，为广大制造企业、贸易企业提供“一站式”综合物流服务。</w:t>
      </w:r>
    </w:p>
    <w:p w14:paraId="61DCB800">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宋体" w:hAnsi="宋体" w:eastAsia="仿宋_GB2312" w:cs="仿宋_GB2312"/>
          <w:b/>
          <w:bCs/>
          <w:color w:val="auto"/>
          <w:kern w:val="0"/>
          <w:sz w:val="36"/>
          <w:szCs w:val="36"/>
          <w:highlight w:val="none"/>
          <w:u w:val="none" w:color="auto"/>
          <w:lang w:val="en-US" w:eastAsia="zh-CN" w:bidi="ar-SA"/>
        </w:rPr>
        <w:t>4.信用保障体系。</w:t>
      </w:r>
      <w:r>
        <w:rPr>
          <w:rFonts w:hint="eastAsia" w:ascii="宋体" w:hAnsi="宋体" w:eastAsia="仿宋_GB2312" w:cs="仿宋_GB2312"/>
          <w:color w:val="auto"/>
          <w:kern w:val="0"/>
          <w:sz w:val="36"/>
          <w:szCs w:val="36"/>
          <w:highlight w:val="none"/>
          <w:u w:val="none" w:color="auto"/>
          <w:lang w:val="en-US" w:eastAsia="zh-CN" w:bidi="ar-SA"/>
        </w:rPr>
        <w:t>政府有关部门、平台企业、银行、第三方信用服务机构等单位加强协作，推进企业和消费者信用数据交换与共享机制，建立跨境电子商务信用数据库。结合海关、税务、外汇等部门的信用认证标准、跨境电子商务平台对经营者和消费者的信用评价标准，以及第三方信用服务机构的信用评价标准，构建跨境电子商务主体信用评价体系。实施信用负面清单管理，分类监管、部门共享、有序公开，通过事前准入禁止和事中严密监管，维护跨境电子商务良好的发展环境。</w:t>
      </w:r>
    </w:p>
    <w:p w14:paraId="6AC73742">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宋体" w:hAnsi="宋体" w:eastAsia="仿宋_GB2312" w:cs="仿宋_GB2312"/>
          <w:b/>
          <w:bCs/>
          <w:color w:val="auto"/>
          <w:kern w:val="0"/>
          <w:sz w:val="36"/>
          <w:szCs w:val="36"/>
          <w:highlight w:val="none"/>
          <w:u w:val="none" w:color="auto"/>
          <w:lang w:val="en-US" w:eastAsia="zh-CN" w:bidi="ar-SA"/>
        </w:rPr>
        <w:t>5.统计监测体系。</w:t>
      </w:r>
      <w:r>
        <w:rPr>
          <w:rFonts w:hint="eastAsia" w:ascii="宋体" w:hAnsi="宋体" w:eastAsia="仿宋_GB2312" w:cs="仿宋_GB2312"/>
          <w:color w:val="auto"/>
          <w:kern w:val="0"/>
          <w:sz w:val="36"/>
          <w:szCs w:val="36"/>
          <w:highlight w:val="none"/>
          <w:u w:val="none" w:color="auto"/>
          <w:lang w:val="en-US" w:eastAsia="zh-CN" w:bidi="ar-SA"/>
        </w:rPr>
        <w:t>建立跨境电商统计监测体系。以线上综合服务平台为媒介，探索建立跨境电商自动化数据采集和统计分析系统。探索利用大数据、云计算技术，对跨境电商业务全流程海量数据进行分析处理运用，为政府监管和企业经营提供决策咨询服务。</w:t>
      </w:r>
    </w:p>
    <w:p w14:paraId="218A0C68">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宋体" w:hAnsi="宋体" w:eastAsia="仿宋_GB2312" w:cs="仿宋_GB2312"/>
          <w:b/>
          <w:bCs/>
          <w:color w:val="auto"/>
          <w:kern w:val="0"/>
          <w:sz w:val="36"/>
          <w:szCs w:val="36"/>
          <w:highlight w:val="none"/>
          <w:u w:val="none" w:color="auto"/>
          <w:lang w:val="en-US" w:eastAsia="zh-CN" w:bidi="ar-SA"/>
        </w:rPr>
        <w:t>6.风险防范体系。</w:t>
      </w:r>
      <w:r>
        <w:rPr>
          <w:rFonts w:hint="eastAsia" w:ascii="宋体" w:hAnsi="宋体" w:eastAsia="仿宋_GB2312" w:cs="仿宋_GB2312"/>
          <w:color w:val="auto"/>
          <w:kern w:val="0"/>
          <w:sz w:val="36"/>
          <w:szCs w:val="36"/>
          <w:highlight w:val="none"/>
          <w:u w:val="none" w:color="auto"/>
          <w:lang w:val="en-US" w:eastAsia="zh-CN" w:bidi="ar-SA"/>
        </w:rPr>
        <w:t>预防和打击跨境电子商务领域违法犯罪，建立风险信息采集、评估分析、预警处置等风险防控机制，有效防控综试区非真实贸易洗钱的经济风险，数据存储、支付交易、网络安全的技术风险，以及产品安全、贸易摩擦、主体信用的交易风险，确保国家安全、网络安全、交易安全和商品质量安全。</w:t>
      </w:r>
    </w:p>
    <w:p w14:paraId="171C1034">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黑体" w:hAnsi="黑体" w:eastAsia="黑体" w:cs="黑体"/>
          <w:color w:val="auto"/>
          <w:kern w:val="0"/>
          <w:sz w:val="36"/>
          <w:szCs w:val="36"/>
          <w:highlight w:val="none"/>
          <w:u w:val="none" w:color="auto"/>
          <w:lang w:val="en-US" w:eastAsia="zh-CN" w:bidi="ar-SA"/>
        </w:rPr>
      </w:pPr>
      <w:r>
        <w:rPr>
          <w:rFonts w:hint="eastAsia" w:ascii="黑体" w:hAnsi="黑体" w:eastAsia="黑体" w:cs="黑体"/>
          <w:color w:val="auto"/>
          <w:kern w:val="0"/>
          <w:sz w:val="36"/>
          <w:szCs w:val="36"/>
          <w:highlight w:val="none"/>
          <w:u w:val="none" w:color="auto"/>
          <w:lang w:val="en-US" w:eastAsia="zh-CN" w:bidi="ar-SA"/>
        </w:rPr>
        <w:t>三、工作举措</w:t>
      </w:r>
    </w:p>
    <w:p w14:paraId="2B8C3C7A">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楷体" w:hAnsi="楷体" w:eastAsia="楷体" w:cs="楷体"/>
          <w:b/>
          <w:bCs/>
          <w:color w:val="auto"/>
          <w:kern w:val="0"/>
          <w:sz w:val="36"/>
          <w:szCs w:val="36"/>
          <w:highlight w:val="none"/>
          <w:u w:val="none" w:color="auto"/>
          <w:lang w:val="en-US" w:eastAsia="zh-CN" w:bidi="ar-SA"/>
        </w:rPr>
      </w:pPr>
      <w:r>
        <w:rPr>
          <w:rFonts w:hint="eastAsia" w:ascii="楷体" w:hAnsi="楷体" w:eastAsia="楷体" w:cs="楷体"/>
          <w:b/>
          <w:bCs/>
          <w:color w:val="auto"/>
          <w:kern w:val="0"/>
          <w:sz w:val="36"/>
          <w:szCs w:val="36"/>
          <w:highlight w:val="none"/>
          <w:u w:val="none" w:color="auto"/>
          <w:lang w:val="en-US" w:eastAsia="zh-CN" w:bidi="ar-SA"/>
        </w:rPr>
        <w:t>（一）推动跨境电商新业态发展</w:t>
      </w:r>
    </w:p>
    <w:p w14:paraId="0340D912">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宋体" w:hAnsi="宋体" w:eastAsia="仿宋_GB2312" w:cs="仿宋_GB2312"/>
          <w:b/>
          <w:bCs/>
          <w:color w:val="auto"/>
          <w:kern w:val="0"/>
          <w:sz w:val="36"/>
          <w:szCs w:val="36"/>
          <w:highlight w:val="none"/>
          <w:u w:val="none" w:color="auto"/>
          <w:lang w:val="en-US" w:eastAsia="zh-CN" w:bidi="ar-SA"/>
        </w:rPr>
        <w:t>1.夯实产业基础。</w:t>
      </w:r>
      <w:r>
        <w:rPr>
          <w:rFonts w:hint="eastAsia" w:ascii="宋体" w:hAnsi="宋体" w:eastAsia="仿宋_GB2312" w:cs="仿宋_GB2312"/>
          <w:color w:val="auto"/>
          <w:kern w:val="0"/>
          <w:sz w:val="36"/>
          <w:szCs w:val="36"/>
          <w:highlight w:val="none"/>
          <w:u w:val="none" w:color="auto"/>
          <w:lang w:val="en-US" w:eastAsia="zh-CN" w:bidi="ar-SA"/>
        </w:rPr>
        <w:t>发挥三明特色</w:t>
      </w:r>
      <w:r>
        <w:rPr>
          <w:rFonts w:hint="default" w:ascii="宋体" w:hAnsi="宋体" w:eastAsia="仿宋_GB2312" w:cs="仿宋_GB2312"/>
          <w:color w:val="auto"/>
          <w:kern w:val="0"/>
          <w:sz w:val="36"/>
          <w:szCs w:val="36"/>
          <w:highlight w:val="none"/>
          <w:u w:val="none" w:color="auto"/>
          <w:lang w:val="en" w:eastAsia="zh-CN" w:bidi="ar-SA"/>
        </w:rPr>
        <w:t>和</w:t>
      </w:r>
      <w:r>
        <w:rPr>
          <w:rFonts w:hint="eastAsia" w:ascii="宋体" w:hAnsi="宋体" w:eastAsia="仿宋_GB2312" w:cs="仿宋_GB2312"/>
          <w:color w:val="auto"/>
          <w:kern w:val="0"/>
          <w:sz w:val="36"/>
          <w:szCs w:val="36"/>
          <w:highlight w:val="none"/>
          <w:u w:val="none" w:color="auto"/>
          <w:lang w:val="en-US" w:eastAsia="zh-CN" w:bidi="ar-SA"/>
        </w:rPr>
        <w:t>优势，为跨境电商发展提供优质的线上商品，建设跨境电商区域性供货基地。推动特色产业对标国际贸易品质要求，通过跨境电商渠道出口贸易，推动外贸转型升级，实现三明货源外贸数据汇聚本地，吸引外流货物数据回归。推动三明品牌国际化，不断提升三明产品在国际市场的核心竞争力。</w:t>
      </w:r>
    </w:p>
    <w:p w14:paraId="3A203B0A">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723" w:firstLineChars="200"/>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宋体" w:hAnsi="宋体" w:eastAsia="仿宋_GB2312" w:cs="仿宋_GB2312"/>
          <w:b/>
          <w:bCs/>
          <w:color w:val="auto"/>
          <w:kern w:val="0"/>
          <w:sz w:val="36"/>
          <w:szCs w:val="36"/>
          <w:highlight w:val="none"/>
          <w:u w:val="none" w:color="auto"/>
          <w:lang w:val="en-US" w:eastAsia="zh-CN" w:bidi="ar-SA"/>
        </w:rPr>
        <w:t>2.完善电商生态。</w:t>
      </w:r>
      <w:r>
        <w:rPr>
          <w:rFonts w:hint="eastAsia" w:ascii="宋体" w:hAnsi="宋体" w:eastAsia="仿宋_GB2312" w:cs="仿宋_GB2312"/>
          <w:color w:val="auto"/>
          <w:kern w:val="0"/>
          <w:sz w:val="36"/>
          <w:szCs w:val="36"/>
          <w:highlight w:val="none"/>
          <w:u w:val="none" w:color="auto"/>
          <w:lang w:val="en-US" w:eastAsia="zh-CN" w:bidi="ar-SA"/>
        </w:rPr>
        <w:t>发挥三明全市10个国家级电商进农村示范县等电子商务示范优势，争取国内外跨境电子商务运营主体机构的集聚，形成跨境电子商务区域中心经济创新业态。完善跨境电子商务配套产业链，支持直播、营销、摄影、代运营、创意、推广、培训等跨境电子商务产</w:t>
      </w:r>
      <w:r>
        <w:rPr>
          <w:rFonts w:hint="eastAsia" w:ascii="宋体" w:hAnsi="宋体" w:eastAsia="仿宋_GB2312" w:cs="仿宋_GB2312"/>
          <w:color w:val="auto"/>
          <w:spacing w:val="-11"/>
          <w:kern w:val="0"/>
          <w:sz w:val="36"/>
          <w:szCs w:val="36"/>
          <w:highlight w:val="none"/>
          <w:u w:val="none" w:color="auto"/>
          <w:lang w:val="en-US" w:eastAsia="zh-CN" w:bidi="ar-SA"/>
        </w:rPr>
        <w:t>业相关配套行业发展，形成良好跨境电子商务产业发展生态。</w:t>
      </w:r>
    </w:p>
    <w:p w14:paraId="0C1A5B5E">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723" w:firstLineChars="200"/>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宋体" w:hAnsi="宋体" w:eastAsia="仿宋_GB2312" w:cs="仿宋_GB2312"/>
          <w:b/>
          <w:bCs/>
          <w:color w:val="auto"/>
          <w:kern w:val="0"/>
          <w:sz w:val="36"/>
          <w:szCs w:val="36"/>
          <w:highlight w:val="none"/>
          <w:u w:val="none" w:color="auto"/>
          <w:lang w:val="en-US" w:eastAsia="zh-CN" w:bidi="ar-SA"/>
        </w:rPr>
        <w:t>3.推动出海建仓。</w:t>
      </w:r>
      <w:r>
        <w:rPr>
          <w:rFonts w:hint="eastAsia" w:ascii="宋体" w:hAnsi="宋体" w:eastAsia="仿宋_GB2312" w:cs="仿宋_GB2312"/>
          <w:color w:val="auto"/>
          <w:kern w:val="0"/>
          <w:sz w:val="36"/>
          <w:szCs w:val="36"/>
          <w:highlight w:val="none"/>
          <w:u w:val="none" w:color="auto"/>
          <w:lang w:val="en-US" w:eastAsia="zh-CN" w:bidi="ar-SA"/>
        </w:rPr>
        <w:t>支持海外仓建设创新发展，通过落实外经贸发展扶持政策，支持企业建立国际营销网络体系，引导海外仓企业整合国内外资源，完善物流体系，提高服务水平，构建布局合理的海外仓网点，鼓励企业建立境外服务保障体系，支持企业建设境外售后维修服务中心及备件生产基地和培训中心。</w:t>
      </w:r>
    </w:p>
    <w:p w14:paraId="2EB1EA5E">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723" w:firstLineChars="200"/>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宋体" w:hAnsi="宋体" w:eastAsia="仿宋_GB2312" w:cs="仿宋_GB2312"/>
          <w:b/>
          <w:bCs/>
          <w:color w:val="auto"/>
          <w:kern w:val="0"/>
          <w:sz w:val="36"/>
          <w:szCs w:val="36"/>
          <w:highlight w:val="none"/>
          <w:u w:val="none" w:color="auto"/>
          <w:lang w:val="en-US" w:eastAsia="zh-CN" w:bidi="ar-SA"/>
        </w:rPr>
        <w:t>4.激励能人回流。</w:t>
      </w:r>
      <w:r>
        <w:rPr>
          <w:rFonts w:hint="eastAsia" w:ascii="宋体" w:hAnsi="宋体" w:eastAsia="仿宋_GB2312" w:cs="仿宋_GB2312"/>
          <w:color w:val="auto"/>
          <w:kern w:val="0"/>
          <w:sz w:val="36"/>
          <w:szCs w:val="36"/>
          <w:highlight w:val="none"/>
          <w:u w:val="none" w:color="auto"/>
          <w:lang w:val="en-US" w:eastAsia="zh-CN" w:bidi="ar-SA"/>
        </w:rPr>
        <w:t>引导各县（市、区）梳理本地从事跨境电商的在外能人，开展精准招商，吸引入驻三明综试区发展，培育跨境电商产业领军企业。鼓励直播、全媒体、区块链、智能平台等跨境电商产业相关专业配套服务业发展，形成良好的跨境电商产业发展生态。</w:t>
      </w:r>
    </w:p>
    <w:p w14:paraId="313A6A32">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宋体" w:hAnsi="宋体" w:eastAsia="仿宋_GB2312" w:cs="仿宋_GB2312"/>
          <w:color w:val="auto"/>
          <w:spacing w:val="-11"/>
          <w:kern w:val="0"/>
          <w:sz w:val="36"/>
          <w:szCs w:val="36"/>
          <w:highlight w:val="none"/>
          <w:u w:val="none" w:color="auto"/>
          <w:lang w:val="en-US" w:eastAsia="zh-CN" w:bidi="ar-SA"/>
        </w:rPr>
      </w:pPr>
      <w:r>
        <w:rPr>
          <w:rFonts w:hint="eastAsia" w:ascii="宋体" w:hAnsi="宋体" w:eastAsia="仿宋_GB2312" w:cs="仿宋_GB2312"/>
          <w:b/>
          <w:bCs/>
          <w:color w:val="auto"/>
          <w:kern w:val="0"/>
          <w:sz w:val="36"/>
          <w:szCs w:val="36"/>
          <w:highlight w:val="none"/>
          <w:u w:val="none" w:color="auto"/>
          <w:lang w:val="en-US" w:eastAsia="zh-CN" w:bidi="ar-SA"/>
        </w:rPr>
        <w:t>5.强化人才培养。</w:t>
      </w:r>
      <w:r>
        <w:rPr>
          <w:rFonts w:hint="eastAsia" w:ascii="宋体" w:hAnsi="宋体" w:eastAsia="仿宋_GB2312" w:cs="仿宋_GB2312"/>
          <w:color w:val="auto"/>
          <w:kern w:val="0"/>
          <w:sz w:val="36"/>
          <w:szCs w:val="36"/>
          <w:highlight w:val="none"/>
          <w:u w:val="none" w:color="auto"/>
          <w:lang w:val="en-US" w:eastAsia="zh-CN" w:bidi="ar-SA"/>
        </w:rPr>
        <w:t>支持三明学院、三明医学科技职业学院等院校开设跨境电商专业，建设专业师资队伍。支持行业企业与高校、职业院校联合办学，</w:t>
      </w:r>
      <w:r>
        <w:rPr>
          <w:rFonts w:hint="eastAsia" w:ascii="宋体" w:hAnsi="宋体" w:eastAsia="仿宋_GB2312" w:cs="仿宋_GB2312"/>
          <w:b w:val="0"/>
          <w:bCs w:val="0"/>
          <w:color w:val="auto"/>
          <w:kern w:val="0"/>
          <w:sz w:val="36"/>
          <w:szCs w:val="36"/>
          <w:highlight w:val="none"/>
          <w:u w:val="none" w:color="auto"/>
          <w:lang w:val="en-US" w:eastAsia="zh-CN" w:bidi="ar-SA"/>
        </w:rPr>
        <w:t>推动校企产教融合协作，</w:t>
      </w:r>
      <w:r>
        <w:rPr>
          <w:rFonts w:hint="eastAsia" w:ascii="宋体" w:hAnsi="宋体" w:eastAsia="仿宋_GB2312" w:cs="仿宋_GB2312"/>
          <w:color w:val="auto"/>
          <w:kern w:val="0"/>
          <w:sz w:val="36"/>
          <w:szCs w:val="36"/>
          <w:highlight w:val="none"/>
          <w:u w:val="none" w:color="auto"/>
          <w:lang w:val="en-US" w:eastAsia="zh-CN" w:bidi="ar-SA"/>
        </w:rPr>
        <w:t>共建跨境电商市域产教联合体、产业学院、人才培训孵化基地和创业孵化基地。常态</w:t>
      </w:r>
      <w:r>
        <w:rPr>
          <w:rFonts w:hint="eastAsia" w:ascii="宋体" w:hAnsi="宋体" w:eastAsia="仿宋_GB2312" w:cs="仿宋_GB2312"/>
          <w:color w:val="auto"/>
          <w:spacing w:val="-11"/>
          <w:kern w:val="0"/>
          <w:sz w:val="36"/>
          <w:szCs w:val="36"/>
          <w:highlight w:val="none"/>
          <w:u w:val="none" w:color="auto"/>
          <w:lang w:val="en-US" w:eastAsia="zh-CN" w:bidi="ar-SA"/>
        </w:rPr>
        <w:t>化举办跨境电商沙龙、大讲堂、创新创业大赛等交流活动。</w:t>
      </w:r>
    </w:p>
    <w:p w14:paraId="5A4DE6EF">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楷体" w:hAnsi="楷体" w:eastAsia="楷体" w:cs="楷体"/>
          <w:b/>
          <w:bCs/>
          <w:color w:val="auto"/>
          <w:kern w:val="0"/>
          <w:sz w:val="36"/>
          <w:szCs w:val="36"/>
          <w:highlight w:val="none"/>
          <w:u w:val="none" w:color="auto"/>
          <w:lang w:val="en-US" w:eastAsia="zh-CN" w:bidi="ar-SA"/>
        </w:rPr>
        <w:t>（二）优化跨境电子商务监管方式</w:t>
      </w:r>
    </w:p>
    <w:p w14:paraId="2DB93306">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723" w:firstLineChars="200"/>
        <w:textAlignment w:val="auto"/>
        <w:rPr>
          <w:rFonts w:hint="default" w:ascii="宋体" w:hAnsi="宋体" w:eastAsia="仿宋_GB2312" w:cs="仿宋_GB2312"/>
          <w:color w:val="auto"/>
          <w:kern w:val="0"/>
          <w:sz w:val="36"/>
          <w:szCs w:val="36"/>
          <w:highlight w:val="none"/>
          <w:u w:val="none" w:color="auto"/>
          <w:lang w:val="en-US" w:eastAsia="zh-CN" w:bidi="ar-SA"/>
        </w:rPr>
      </w:pPr>
      <w:r>
        <w:rPr>
          <w:rFonts w:hint="eastAsia" w:ascii="宋体" w:hAnsi="宋体" w:eastAsia="仿宋_GB2312" w:cs="仿宋_GB2312"/>
          <w:b/>
          <w:bCs/>
          <w:color w:val="auto"/>
          <w:kern w:val="0"/>
          <w:sz w:val="36"/>
          <w:szCs w:val="36"/>
          <w:highlight w:val="none"/>
          <w:u w:val="none" w:color="auto"/>
          <w:lang w:val="en-US" w:eastAsia="zh-CN" w:bidi="ar-SA"/>
        </w:rPr>
        <w:t>1.海关监管</w:t>
      </w:r>
      <w:r>
        <w:rPr>
          <w:rFonts w:hint="eastAsia" w:ascii="宋体" w:hAnsi="宋体" w:eastAsia="仿宋_GB2312" w:cs="仿宋_GB2312"/>
          <w:color w:val="auto"/>
          <w:kern w:val="0"/>
          <w:sz w:val="36"/>
          <w:szCs w:val="36"/>
          <w:highlight w:val="none"/>
          <w:u w:val="none" w:color="auto"/>
          <w:lang w:val="en-US" w:eastAsia="zh-CN" w:bidi="ar-SA"/>
        </w:rPr>
        <w:t>。简化出口单证申报手续，</w:t>
      </w:r>
      <w:r>
        <w:rPr>
          <w:rFonts w:hint="default" w:ascii="宋体" w:hAnsi="宋体" w:eastAsia="仿宋_GB2312" w:cs="仿宋_GB2312"/>
          <w:color w:val="auto"/>
          <w:kern w:val="0"/>
          <w:sz w:val="36"/>
          <w:szCs w:val="36"/>
          <w:highlight w:val="none"/>
          <w:u w:val="none" w:color="auto"/>
          <w:lang w:val="en-US" w:eastAsia="zh-CN" w:bidi="ar-SA"/>
        </w:rPr>
        <w:t>推行全程通关无纸化，实现“一次申报、一次查验、一次放行”。</w:t>
      </w:r>
      <w:r>
        <w:rPr>
          <w:rFonts w:hint="eastAsia" w:ascii="宋体" w:hAnsi="宋体" w:eastAsia="仿宋_GB2312" w:cs="仿宋_GB2312"/>
          <w:color w:val="auto"/>
          <w:kern w:val="0"/>
          <w:sz w:val="36"/>
          <w:szCs w:val="36"/>
          <w:highlight w:val="none"/>
          <w:u w:val="none" w:color="auto"/>
          <w:lang w:val="en-US" w:eastAsia="zh-CN" w:bidi="ar-SA"/>
        </w:rPr>
        <w:t>探索出口拼箱货物“先查验后装运”和</w:t>
      </w:r>
      <w:r>
        <w:rPr>
          <w:rFonts w:hint="default" w:ascii="宋体" w:hAnsi="宋体" w:eastAsia="仿宋_GB2312" w:cs="仿宋_GB2312"/>
          <w:color w:val="auto"/>
          <w:kern w:val="0"/>
          <w:sz w:val="36"/>
          <w:szCs w:val="36"/>
          <w:highlight w:val="none"/>
          <w:u w:val="none" w:color="auto"/>
          <w:lang w:val="en-US" w:eastAsia="zh-CN" w:bidi="ar-SA"/>
        </w:rPr>
        <w:t>出口商品高效、安全、快捷的退</w:t>
      </w:r>
      <w:r>
        <w:rPr>
          <w:rFonts w:hint="eastAsia" w:ascii="宋体" w:hAnsi="宋体" w:eastAsia="仿宋_GB2312" w:cs="仿宋_GB2312"/>
          <w:color w:val="auto"/>
          <w:kern w:val="0"/>
          <w:sz w:val="36"/>
          <w:szCs w:val="36"/>
          <w:highlight w:val="none"/>
          <w:u w:val="none" w:color="auto"/>
          <w:lang w:val="en-US" w:eastAsia="zh-CN" w:bidi="ar-SA"/>
        </w:rPr>
        <w:t>货</w:t>
      </w:r>
      <w:r>
        <w:rPr>
          <w:rFonts w:hint="default" w:ascii="宋体" w:hAnsi="宋体" w:eastAsia="仿宋_GB2312" w:cs="仿宋_GB2312"/>
          <w:color w:val="auto"/>
          <w:kern w:val="0"/>
          <w:sz w:val="36"/>
          <w:szCs w:val="36"/>
          <w:highlight w:val="none"/>
          <w:u w:val="none" w:color="auto"/>
          <w:lang w:val="en-US" w:eastAsia="zh-CN" w:bidi="ar-SA"/>
        </w:rPr>
        <w:t>监管模式。</w:t>
      </w:r>
    </w:p>
    <w:p w14:paraId="6FF6FB4A">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723" w:firstLineChars="200"/>
        <w:textAlignment w:val="auto"/>
        <w:rPr>
          <w:rFonts w:hint="default" w:ascii="宋体" w:hAnsi="宋体" w:eastAsia="仿宋_GB2312" w:cs="仿宋_GB2312"/>
          <w:color w:val="auto"/>
          <w:kern w:val="0"/>
          <w:sz w:val="36"/>
          <w:szCs w:val="36"/>
          <w:highlight w:val="none"/>
          <w:u w:val="none" w:color="auto"/>
          <w:lang w:val="en-US" w:eastAsia="zh-CN" w:bidi="ar-SA"/>
        </w:rPr>
      </w:pPr>
      <w:r>
        <w:rPr>
          <w:rFonts w:hint="default" w:ascii="宋体" w:hAnsi="宋体" w:eastAsia="仿宋_GB2312" w:cs="仿宋_GB2312"/>
          <w:b/>
          <w:bCs/>
          <w:color w:val="auto"/>
          <w:kern w:val="0"/>
          <w:sz w:val="36"/>
          <w:szCs w:val="36"/>
          <w:highlight w:val="none"/>
          <w:u w:val="none" w:color="auto"/>
          <w:lang w:val="en-US" w:eastAsia="zh-CN" w:bidi="ar-SA"/>
        </w:rPr>
        <w:t>2.税收征管</w:t>
      </w:r>
      <w:r>
        <w:rPr>
          <w:rFonts w:hint="default" w:ascii="宋体" w:hAnsi="宋体" w:eastAsia="仿宋_GB2312" w:cs="仿宋_GB2312"/>
          <w:color w:val="auto"/>
          <w:kern w:val="0"/>
          <w:sz w:val="36"/>
          <w:szCs w:val="36"/>
          <w:highlight w:val="none"/>
          <w:u w:val="none" w:color="auto"/>
          <w:lang w:val="en-US" w:eastAsia="zh-CN" w:bidi="ar-SA"/>
        </w:rPr>
        <w:t>。提高出口退税效率，优化出口退税流程，加快出口退税进度。为一类出口企业提供办税“绿色”通道，优先办理退税。对符合条件的出口企业按照“容缺办理”原则办理退（免）税。积极推广出口退（免）税事项“非接触”办理。</w:t>
      </w:r>
    </w:p>
    <w:p w14:paraId="191F3138">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723" w:firstLineChars="200"/>
        <w:jc w:val="both"/>
        <w:textAlignment w:val="auto"/>
        <w:rPr>
          <w:rFonts w:hint="default" w:ascii="宋体" w:hAnsi="宋体" w:eastAsia="仿宋_GB2312" w:cs="仿宋_GB2312"/>
          <w:color w:val="auto"/>
          <w:kern w:val="0"/>
          <w:sz w:val="36"/>
          <w:szCs w:val="36"/>
          <w:highlight w:val="none"/>
          <w:u w:val="none" w:color="auto"/>
          <w:lang w:val="en-US" w:eastAsia="zh-CN" w:bidi="ar-SA"/>
        </w:rPr>
      </w:pPr>
      <w:r>
        <w:rPr>
          <w:rFonts w:hint="default" w:ascii="宋体" w:hAnsi="宋体" w:eastAsia="仿宋_GB2312" w:cs="仿宋_GB2312"/>
          <w:b/>
          <w:bCs/>
          <w:color w:val="auto"/>
          <w:kern w:val="0"/>
          <w:sz w:val="36"/>
          <w:szCs w:val="36"/>
          <w:highlight w:val="none"/>
          <w:u w:val="none" w:color="auto"/>
          <w:lang w:val="en-US" w:eastAsia="zh-CN" w:bidi="ar-SA"/>
        </w:rPr>
        <w:t>3.外汇监管。</w:t>
      </w:r>
      <w:r>
        <w:rPr>
          <w:rFonts w:hint="default" w:ascii="宋体" w:hAnsi="宋体" w:eastAsia="仿宋_GB2312" w:cs="仿宋_GB2312"/>
          <w:color w:val="auto"/>
          <w:kern w:val="0"/>
          <w:sz w:val="36"/>
          <w:szCs w:val="36"/>
          <w:highlight w:val="none"/>
          <w:u w:val="none" w:color="auto"/>
          <w:lang w:val="en-US" w:eastAsia="zh-CN" w:bidi="ar-SA"/>
        </w:rPr>
        <w:t>建立动态监测、总量核查、分类管理的外汇管理体系。支持金融机构与线上综合服务平台互联互通，</w:t>
      </w:r>
      <w:r>
        <w:rPr>
          <w:rFonts w:hint="eastAsia" w:ascii="宋体" w:hAnsi="宋体" w:eastAsia="仿宋_GB2312" w:cs="仿宋_GB2312"/>
          <w:color w:val="auto"/>
          <w:kern w:val="0"/>
          <w:sz w:val="36"/>
          <w:szCs w:val="36"/>
          <w:highlight w:val="none"/>
          <w:u w:val="none" w:color="auto"/>
          <w:lang w:val="en-US" w:eastAsia="zh-CN" w:bidi="ar-SA"/>
        </w:rPr>
        <w:t>凭交易电子信息</w:t>
      </w:r>
      <w:r>
        <w:rPr>
          <w:rFonts w:hint="default" w:ascii="宋体" w:hAnsi="宋体" w:eastAsia="仿宋_GB2312" w:cs="仿宋_GB2312"/>
          <w:color w:val="auto"/>
          <w:kern w:val="0"/>
          <w:sz w:val="36"/>
          <w:szCs w:val="36"/>
          <w:highlight w:val="none"/>
          <w:u w:val="none" w:color="auto"/>
          <w:lang w:val="en-US" w:eastAsia="zh-CN" w:bidi="ar-SA"/>
        </w:rPr>
        <w:t>为跨境电商企业办理跨境外汇支付和结售汇业务。从事跨境电商的境内个人可通过个人外汇账户办理跨境电商外汇结算</w:t>
      </w:r>
      <w:r>
        <w:rPr>
          <w:rFonts w:hint="eastAsia" w:ascii="宋体" w:hAnsi="宋体" w:eastAsia="仿宋_GB2312" w:cs="仿宋_GB2312"/>
          <w:color w:val="auto"/>
          <w:kern w:val="0"/>
          <w:sz w:val="36"/>
          <w:szCs w:val="36"/>
          <w:highlight w:val="none"/>
          <w:u w:val="none" w:color="auto"/>
          <w:lang w:val="en-US" w:eastAsia="zh-CN" w:bidi="ar-SA"/>
        </w:rPr>
        <w:t>。</w:t>
      </w:r>
      <w:r>
        <w:rPr>
          <w:rFonts w:hint="default" w:ascii="宋体" w:hAnsi="宋体" w:eastAsia="仿宋_GB2312" w:cs="仿宋_GB2312"/>
          <w:color w:val="auto"/>
          <w:kern w:val="0"/>
          <w:sz w:val="36"/>
          <w:szCs w:val="36"/>
          <w:highlight w:val="none"/>
          <w:u w:val="none" w:color="auto"/>
          <w:lang w:val="en-US" w:eastAsia="zh-CN" w:bidi="ar-SA"/>
        </w:rPr>
        <w:t>境内个人办理跨境电商项下结售汇，提供</w:t>
      </w:r>
      <w:r>
        <w:rPr>
          <w:rFonts w:hint="eastAsia" w:ascii="宋体" w:hAnsi="宋体" w:eastAsia="仿宋_GB2312" w:cs="仿宋_GB2312"/>
          <w:color w:val="auto"/>
          <w:kern w:val="0"/>
          <w:sz w:val="36"/>
          <w:szCs w:val="36"/>
          <w:highlight w:val="none"/>
          <w:u w:val="none" w:color="auto"/>
          <w:lang w:val="zh-CN" w:eastAsia="zh-CN" w:bidi="ar-SA"/>
        </w:rPr>
        <w:t>本人有效身份证件和</w:t>
      </w:r>
      <w:r>
        <w:rPr>
          <w:rFonts w:hint="default" w:ascii="宋体" w:hAnsi="宋体" w:eastAsia="仿宋_GB2312" w:cs="仿宋_GB2312"/>
          <w:color w:val="auto"/>
          <w:kern w:val="0"/>
          <w:sz w:val="36"/>
          <w:szCs w:val="36"/>
          <w:highlight w:val="none"/>
          <w:u w:val="none" w:color="auto"/>
          <w:lang w:val="en-US" w:eastAsia="zh-CN" w:bidi="ar-SA"/>
        </w:rPr>
        <w:t>有交易额的证明材料或交易信息的，不占用个人年度便利化额度</w:t>
      </w:r>
      <w:r>
        <w:rPr>
          <w:rFonts w:hint="eastAsia" w:ascii="宋体" w:hAnsi="宋体" w:eastAsia="仿宋_GB2312" w:cs="仿宋_GB2312"/>
          <w:color w:val="auto"/>
          <w:kern w:val="0"/>
          <w:sz w:val="36"/>
          <w:szCs w:val="36"/>
          <w:highlight w:val="none"/>
          <w:u w:val="none" w:color="auto"/>
          <w:lang w:val="en-US" w:eastAsia="zh-CN" w:bidi="ar-SA"/>
        </w:rPr>
        <w:t>。</w:t>
      </w:r>
    </w:p>
    <w:p w14:paraId="5D24DF11">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720" w:firstLineChars="200"/>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黑体" w:hAnsi="黑体" w:eastAsia="黑体" w:cs="黑体"/>
          <w:color w:val="auto"/>
          <w:kern w:val="0"/>
          <w:sz w:val="36"/>
          <w:szCs w:val="36"/>
          <w:highlight w:val="none"/>
          <w:u w:val="none" w:color="auto"/>
          <w:lang w:val="en-US" w:eastAsia="zh-CN" w:bidi="ar-SA"/>
        </w:rPr>
        <w:t>四、保障措施</w:t>
      </w:r>
    </w:p>
    <w:p w14:paraId="6294B70D">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723" w:firstLineChars="200"/>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楷体" w:hAnsi="楷体" w:eastAsia="楷体" w:cs="楷体"/>
          <w:b/>
          <w:bCs/>
          <w:color w:val="auto"/>
          <w:kern w:val="0"/>
          <w:sz w:val="36"/>
          <w:szCs w:val="36"/>
          <w:highlight w:val="none"/>
          <w:u w:val="none" w:color="auto"/>
          <w:lang w:val="en-US" w:eastAsia="zh-CN" w:bidi="ar-SA"/>
        </w:rPr>
        <w:t>（一）加强组织领导。</w:t>
      </w:r>
      <w:r>
        <w:rPr>
          <w:rFonts w:hint="eastAsia" w:ascii="宋体" w:hAnsi="宋体" w:eastAsia="仿宋_GB2312" w:cs="仿宋_GB2312"/>
          <w:color w:val="auto"/>
          <w:kern w:val="0"/>
          <w:sz w:val="36"/>
          <w:szCs w:val="36"/>
          <w:highlight w:val="none"/>
          <w:u w:val="none" w:color="auto"/>
          <w:lang w:val="en-US" w:eastAsia="zh-CN" w:bidi="ar-SA"/>
        </w:rPr>
        <w:t>成立中国（三明）跨境电商综合试验区建设工作专班，统筹协调综试区建设工作。定期研究重大问题，协调重大事项，跟进落实各项任务和创新措施。</w:t>
      </w:r>
    </w:p>
    <w:p w14:paraId="695E579C">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723" w:firstLineChars="200"/>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楷体" w:hAnsi="楷体" w:eastAsia="楷体" w:cs="楷体"/>
          <w:b/>
          <w:bCs/>
          <w:color w:val="auto"/>
          <w:kern w:val="0"/>
          <w:sz w:val="36"/>
          <w:szCs w:val="36"/>
          <w:highlight w:val="none"/>
          <w:u w:val="none" w:color="auto"/>
          <w:lang w:val="en-US" w:eastAsia="zh-CN" w:bidi="ar-SA"/>
        </w:rPr>
        <w:t>（二）完善政策支持。</w:t>
      </w:r>
      <w:r>
        <w:rPr>
          <w:rFonts w:hint="eastAsia" w:ascii="宋体" w:hAnsi="宋体" w:eastAsia="仿宋_GB2312" w:cs="仿宋_GB2312"/>
          <w:color w:val="auto"/>
          <w:kern w:val="0"/>
          <w:sz w:val="36"/>
          <w:szCs w:val="36"/>
          <w:highlight w:val="none"/>
          <w:u w:val="none" w:color="auto"/>
          <w:lang w:val="en-US" w:eastAsia="zh-CN" w:bidi="ar-SA"/>
        </w:rPr>
        <w:t>积极争取中央各项政策资金，统筹省、市现有专项资金支持综试区建设，出台扶持跨境电商发展政策，对编制发展规划、壮大市场主体，建设线上综合服务平台、线下产业园区和孵化基地，布局海外仓、发展直播电商、壮大跨境快递业务、开展人才培训、举办产业促进活动等给予支持。探索设立跨境电商产业发展基金，为符合条件的企业提供低息贷款或股权投资，缓解融资难的问题。</w:t>
      </w:r>
    </w:p>
    <w:p w14:paraId="21DC3DC2">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723" w:firstLineChars="200"/>
        <w:textAlignment w:val="auto"/>
        <w:rPr>
          <w:rFonts w:hint="eastAsia" w:ascii="宋体" w:hAnsi="宋体" w:eastAsia="仿宋_GB2312" w:cs="仿宋_GB2312"/>
          <w:color w:val="auto"/>
          <w:kern w:val="0"/>
          <w:sz w:val="36"/>
          <w:szCs w:val="36"/>
          <w:highlight w:val="none"/>
          <w:u w:val="none" w:color="auto"/>
          <w:lang w:val="en-US" w:eastAsia="zh-CN" w:bidi="ar-SA"/>
        </w:rPr>
      </w:pPr>
      <w:r>
        <w:rPr>
          <w:rFonts w:hint="eastAsia" w:ascii="楷体" w:hAnsi="楷体" w:eastAsia="楷体" w:cs="楷体"/>
          <w:b/>
          <w:bCs/>
          <w:color w:val="auto"/>
          <w:kern w:val="0"/>
          <w:sz w:val="36"/>
          <w:szCs w:val="36"/>
          <w:highlight w:val="none"/>
          <w:u w:val="none" w:color="auto"/>
          <w:lang w:val="en-US" w:eastAsia="zh-CN" w:bidi="ar-SA"/>
        </w:rPr>
        <w:t>（三）优化发展环境。</w:t>
      </w:r>
      <w:r>
        <w:rPr>
          <w:rFonts w:hint="eastAsia" w:ascii="宋体" w:hAnsi="宋体" w:eastAsia="仿宋_GB2312" w:cs="仿宋_GB2312"/>
          <w:color w:val="auto"/>
          <w:kern w:val="0"/>
          <w:sz w:val="36"/>
          <w:szCs w:val="36"/>
          <w:highlight w:val="none"/>
          <w:u w:val="none" w:color="auto"/>
          <w:lang w:val="en-US" w:eastAsia="zh-CN" w:bidi="ar-SA"/>
        </w:rPr>
        <w:t>商务、财政、海关、税务、外汇管理、市场监管等部门创新举措、优化服务，合力推进贸易便利化，增强企业获得感。发挥行业协会作用，引导跨境电商企业公平竞争、规范经营。加强宣传引导，推介综试区建设经验做法和优秀案例，营造良好发展氛围。</w:t>
      </w:r>
    </w:p>
    <w:p w14:paraId="42526DAA">
      <w:pPr>
        <w:pStyle w:val="6"/>
        <w:keepNext w:val="0"/>
        <w:keepLines w:val="0"/>
        <w:pageBreakBefore w:val="0"/>
        <w:widowControl w:val="0"/>
        <w:kinsoku/>
        <w:wordWrap/>
        <w:overflowPunct/>
        <w:topLinePunct w:val="0"/>
        <w:autoSpaceDE/>
        <w:autoSpaceDN/>
        <w:bidi w:val="0"/>
        <w:adjustRightInd/>
        <w:snapToGrid/>
        <w:spacing w:before="0" w:after="0" w:line="580" w:lineRule="exact"/>
        <w:ind w:left="0" w:leftChars="0" w:right="0" w:firstLine="0" w:firstLineChars="0"/>
        <w:jc w:val="both"/>
        <w:textAlignment w:val="auto"/>
        <w:outlineLvl w:val="9"/>
        <w:rPr>
          <w:rFonts w:hint="eastAsia" w:ascii="宋体" w:hAnsi="宋体" w:eastAsia="黑体" w:cs="宋体"/>
          <w:color w:val="auto"/>
          <w:sz w:val="36"/>
          <w:szCs w:val="36"/>
          <w:highlight w:val="none"/>
          <w:u w:val="none" w:color="auto"/>
          <w:lang w:val="en-US" w:eastAsia="zh-CN"/>
        </w:rPr>
      </w:pPr>
    </w:p>
    <w:sectPr>
      <w:footerReference r:id="rId3" w:type="default"/>
      <w:pgSz w:w="11906" w:h="16838"/>
      <w:pgMar w:top="1474" w:right="1474" w:bottom="1474" w:left="1474" w:header="851" w:footer="992" w:gutter="0"/>
      <w:pgNumType w:fmt="decimal" w:start="1"/>
      <w:cols w:space="720" w:num="1"/>
      <w:rtlGutter w:val="0"/>
      <w:docGrid w:type="lines" w:linePitch="31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FF0000">
    <w:pPr>
      <w:pStyle w:val="8"/>
      <w:tabs>
        <w:tab w:val="clear" w:pos="4153"/>
      </w:tabs>
      <w:jc w:val="center"/>
    </w:pPr>
    <w:r>
      <w:rPr>
        <w:rFonts w:ascii="Calibri" w:hAnsi="Calibri" w:eastAsia="宋体" w:cs="Times New Roman"/>
        <w:kern w:val="2"/>
        <w:sz w:val="18"/>
        <w:szCs w:val="24"/>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5B3D7E9">
                          <w:pPr>
                            <w:pStyle w:val="8"/>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wrap="none" lIns="0" tIns="0" rIns="0" bIns="0" upright="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8bSus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pt6IoSxy0O/PLzx+XXn8vv72SZ&#10;5ekD1Jh1HzAvDe/8gEsz+wGdmfWgos1f5EMwjuKer+LKIRGRH61X63WFIYGx+YL47OF5iJDeS29J&#10;NhoacXpFVH76CGlMnVNyNefvtDFlgsb940DM7GG597HHbKVhP0yE9r49I58eB99Qh3tOifngUNe8&#10;I7MRZ2M/G8cQ9aErS5TrQbg9Jmyi9JYrjLBTYZxYYTdtV16Jx/eS9fBHbf8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PfG0rrIAQAAmQMAAA4AAAAAAAAAAQAgAAAAHgEAAGRycy9lMm9Eb2Mu&#10;eG1sUEsFBgAAAAAGAAYAWQEAAFgFAAAAAA==&#10;">
              <v:fill on="f" focussize="0,0"/>
              <v:stroke on="f"/>
              <v:imagedata o:title=""/>
              <o:lock v:ext="edit" aspectratio="f"/>
              <v:textbox inset="0mm,0mm,0mm,0mm" style="mso-fit-shape-to-text:t;">
                <w:txbxContent>
                  <w:p w14:paraId="05B3D7E9">
                    <w:pPr>
                      <w:pStyle w:val="8"/>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8878D1"/>
    <w:rsid w:val="018C045D"/>
    <w:rsid w:val="03BC116C"/>
    <w:rsid w:val="077E490B"/>
    <w:rsid w:val="095B200D"/>
    <w:rsid w:val="0A0C494D"/>
    <w:rsid w:val="0E273928"/>
    <w:rsid w:val="0ED46692"/>
    <w:rsid w:val="116F2971"/>
    <w:rsid w:val="12B427A8"/>
    <w:rsid w:val="13E03E24"/>
    <w:rsid w:val="13F47BB5"/>
    <w:rsid w:val="140D3B2D"/>
    <w:rsid w:val="143E449F"/>
    <w:rsid w:val="15E60A98"/>
    <w:rsid w:val="16524615"/>
    <w:rsid w:val="177D4A57"/>
    <w:rsid w:val="17EF007F"/>
    <w:rsid w:val="190B7602"/>
    <w:rsid w:val="19184A28"/>
    <w:rsid w:val="1AC95770"/>
    <w:rsid w:val="1AF965A0"/>
    <w:rsid w:val="1B187F78"/>
    <w:rsid w:val="1C2370A5"/>
    <w:rsid w:val="1C937963"/>
    <w:rsid w:val="1CDD1FCF"/>
    <w:rsid w:val="1E2E3C5A"/>
    <w:rsid w:val="1E566941"/>
    <w:rsid w:val="20831D29"/>
    <w:rsid w:val="20980731"/>
    <w:rsid w:val="209808BC"/>
    <w:rsid w:val="215869F4"/>
    <w:rsid w:val="24741D97"/>
    <w:rsid w:val="25F83A47"/>
    <w:rsid w:val="260E1612"/>
    <w:rsid w:val="27C03AF5"/>
    <w:rsid w:val="27F75BEF"/>
    <w:rsid w:val="2838132E"/>
    <w:rsid w:val="289017FF"/>
    <w:rsid w:val="29B338F4"/>
    <w:rsid w:val="2A617D97"/>
    <w:rsid w:val="2E8700A0"/>
    <w:rsid w:val="2FFFAE99"/>
    <w:rsid w:val="30760597"/>
    <w:rsid w:val="30A7708A"/>
    <w:rsid w:val="32D01216"/>
    <w:rsid w:val="32F11659"/>
    <w:rsid w:val="359B105D"/>
    <w:rsid w:val="364C4922"/>
    <w:rsid w:val="375A4A96"/>
    <w:rsid w:val="39EB31D0"/>
    <w:rsid w:val="3A304BD0"/>
    <w:rsid w:val="3A4D23D3"/>
    <w:rsid w:val="3AD24233"/>
    <w:rsid w:val="3B978F56"/>
    <w:rsid w:val="3BF455A1"/>
    <w:rsid w:val="3CCE7556"/>
    <w:rsid w:val="3D61211A"/>
    <w:rsid w:val="3E6834DB"/>
    <w:rsid w:val="3F67A9FD"/>
    <w:rsid w:val="3FAA01A8"/>
    <w:rsid w:val="3FDDB6DF"/>
    <w:rsid w:val="41206146"/>
    <w:rsid w:val="45742769"/>
    <w:rsid w:val="461036EB"/>
    <w:rsid w:val="483D231C"/>
    <w:rsid w:val="49F904C5"/>
    <w:rsid w:val="4B3E2FF6"/>
    <w:rsid w:val="4B62637E"/>
    <w:rsid w:val="4B7E12DA"/>
    <w:rsid w:val="4C027AA9"/>
    <w:rsid w:val="4C697AF3"/>
    <w:rsid w:val="4FD36DDE"/>
    <w:rsid w:val="4FDF69B1"/>
    <w:rsid w:val="4FED0B26"/>
    <w:rsid w:val="503C735D"/>
    <w:rsid w:val="510E07AC"/>
    <w:rsid w:val="52127026"/>
    <w:rsid w:val="525C1B22"/>
    <w:rsid w:val="526A2B78"/>
    <w:rsid w:val="54E47ED0"/>
    <w:rsid w:val="565151E5"/>
    <w:rsid w:val="59253609"/>
    <w:rsid w:val="5A0C4B1E"/>
    <w:rsid w:val="5BC439FE"/>
    <w:rsid w:val="5BF05BEB"/>
    <w:rsid w:val="5C314A57"/>
    <w:rsid w:val="5CB84210"/>
    <w:rsid w:val="5CE96177"/>
    <w:rsid w:val="5D777AC6"/>
    <w:rsid w:val="5D7D0A15"/>
    <w:rsid w:val="5DCC2252"/>
    <w:rsid w:val="5DFA5C59"/>
    <w:rsid w:val="5E7F3237"/>
    <w:rsid w:val="5F532F88"/>
    <w:rsid w:val="644F40F5"/>
    <w:rsid w:val="64CA0F84"/>
    <w:rsid w:val="65B1302C"/>
    <w:rsid w:val="65E3A5AF"/>
    <w:rsid w:val="663F61EB"/>
    <w:rsid w:val="666A6979"/>
    <w:rsid w:val="67E6606F"/>
    <w:rsid w:val="68F22857"/>
    <w:rsid w:val="6C711B57"/>
    <w:rsid w:val="6DF21824"/>
    <w:rsid w:val="6E093138"/>
    <w:rsid w:val="6E712470"/>
    <w:rsid w:val="6F3C482C"/>
    <w:rsid w:val="71D15700"/>
    <w:rsid w:val="71F15907"/>
    <w:rsid w:val="728E1702"/>
    <w:rsid w:val="73AF45D5"/>
    <w:rsid w:val="741464C1"/>
    <w:rsid w:val="759D603D"/>
    <w:rsid w:val="75BB5939"/>
    <w:rsid w:val="76D15989"/>
    <w:rsid w:val="77B6CAD8"/>
    <w:rsid w:val="784837EC"/>
    <w:rsid w:val="79774AE6"/>
    <w:rsid w:val="799626B7"/>
    <w:rsid w:val="79EE4187"/>
    <w:rsid w:val="7B004FE7"/>
    <w:rsid w:val="7BF7453B"/>
    <w:rsid w:val="7C492337"/>
    <w:rsid w:val="7D346ED8"/>
    <w:rsid w:val="7EED9767"/>
    <w:rsid w:val="9B7FF776"/>
    <w:rsid w:val="A54B6869"/>
    <w:rsid w:val="AFD24A2E"/>
    <w:rsid w:val="BFBC396F"/>
    <w:rsid w:val="BFF860F5"/>
    <w:rsid w:val="C7BFA67D"/>
    <w:rsid w:val="D2FD6AD9"/>
    <w:rsid w:val="D5DFAB70"/>
    <w:rsid w:val="DBDF14B1"/>
    <w:rsid w:val="DFFDB654"/>
    <w:rsid w:val="DFFDD82B"/>
    <w:rsid w:val="EEF33844"/>
    <w:rsid w:val="F66FFBDD"/>
    <w:rsid w:val="F7EC66DF"/>
    <w:rsid w:val="F7FD3CAE"/>
    <w:rsid w:val="FD6D8E87"/>
    <w:rsid w:val="FDBE3D36"/>
    <w:rsid w:val="FDDAA3C7"/>
    <w:rsid w:val="FDE49856"/>
    <w:rsid w:val="FEFB3BC6"/>
    <w:rsid w:val="FFAFDB65"/>
    <w:rsid w:val="FFDF8E24"/>
    <w:rsid w:val="FFDFD74B"/>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qFormat="1" w:uiPriority="99"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13">
    <w:name w:val="Default Paragraph Font"/>
    <w:semiHidden/>
    <w:qFormat/>
    <w:uiPriority w:val="0"/>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unhideWhenUsed/>
    <w:qFormat/>
    <w:uiPriority w:val="99"/>
    <w:pPr>
      <w:spacing w:line="560" w:lineRule="exact"/>
    </w:pPr>
    <w:rPr>
      <w:rFonts w:ascii="仿宋_GB2312"/>
      <w:sz w:val="30"/>
      <w:szCs w:val="24"/>
    </w:rPr>
  </w:style>
  <w:style w:type="paragraph" w:styleId="3">
    <w:name w:val="index 5"/>
    <w:basedOn w:val="1"/>
    <w:next w:val="1"/>
    <w:qFormat/>
    <w:uiPriority w:val="0"/>
    <w:pPr>
      <w:ind w:left="1680"/>
    </w:pPr>
    <w:rPr>
      <w:rFonts w:ascii="Times New Roman" w:hAnsi="Times New Roman" w:cs="Times New Roman"/>
    </w:rPr>
  </w:style>
  <w:style w:type="paragraph" w:styleId="4">
    <w:name w:val="index 6"/>
    <w:next w:val="1"/>
    <w:unhideWhenUsed/>
    <w:qFormat/>
    <w:uiPriority w:val="99"/>
    <w:pPr>
      <w:widowControl w:val="0"/>
      <w:ind w:left="2100"/>
      <w:jc w:val="both"/>
    </w:pPr>
    <w:rPr>
      <w:rFonts w:ascii="Times New Roman" w:hAnsi="Times New Roman" w:eastAsia="宋体" w:cs="Times New Roman"/>
      <w:kern w:val="2"/>
      <w:sz w:val="21"/>
      <w:lang w:val="en-US" w:eastAsia="zh-CN" w:bidi="ar-SA"/>
    </w:rPr>
  </w:style>
  <w:style w:type="paragraph" w:styleId="5">
    <w:name w:val="Body Text"/>
    <w:basedOn w:val="1"/>
    <w:next w:val="6"/>
    <w:semiHidden/>
    <w:qFormat/>
    <w:uiPriority w:val="0"/>
    <w:rPr>
      <w:rFonts w:ascii="Arial" w:hAnsi="Arial" w:eastAsia="Arial" w:cs="Arial"/>
      <w:szCs w:val="21"/>
      <w:lang w:eastAsia="en-US"/>
    </w:rPr>
  </w:style>
  <w:style w:type="paragraph" w:styleId="6">
    <w:name w:val="Body Text First Indent"/>
    <w:basedOn w:val="5"/>
    <w:qFormat/>
    <w:uiPriority w:val="0"/>
    <w:pPr>
      <w:ind w:firstLine="420" w:firstLineChars="100"/>
      <w:jc w:val="center"/>
    </w:pPr>
    <w:rPr>
      <w:rFonts w:ascii="Calibri" w:hAnsi="Calibri" w:eastAsia="楷体_GB2312" w:cs="Times New Roman"/>
      <w:kern w:val="0"/>
      <w:sz w:val="20"/>
      <w:szCs w:val="20"/>
      <w:lang w:eastAsia="zh-CN"/>
    </w:rPr>
  </w:style>
  <w:style w:type="paragraph" w:styleId="7">
    <w:name w:val="Body Text Indent"/>
    <w:basedOn w:val="1"/>
    <w:next w:val="2"/>
    <w:qFormat/>
    <w:uiPriority w:val="0"/>
    <w:pPr>
      <w:ind w:firstLine="420" w:firstLineChars="140"/>
    </w:pPr>
    <w:rPr>
      <w:rFonts w:ascii="Calibri" w:hAnsi="Calibri" w:eastAsia="宋体" w:cs="Times New Roman"/>
      <w:szCs w:val="21"/>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Normal (Web)"/>
    <w:basedOn w:val="1"/>
    <w:qFormat/>
    <w:uiPriority w:val="0"/>
    <w:rPr>
      <w:sz w:val="24"/>
    </w:rPr>
  </w:style>
  <w:style w:type="paragraph" w:styleId="11">
    <w:name w:val="Body Text First Indent 2"/>
    <w:basedOn w:val="7"/>
    <w:next w:val="4"/>
    <w:qFormat/>
    <w:uiPriority w:val="0"/>
    <w:pPr>
      <w:ind w:firstLine="420" w:firstLineChars="200"/>
    </w:pPr>
  </w:style>
  <w:style w:type="character" w:styleId="14">
    <w:name w:val="page number"/>
    <w:basedOn w:val="13"/>
    <w:qFormat/>
    <w:uiPriority w:val="0"/>
  </w:style>
  <w:style w:type="paragraph" w:customStyle="1" w:styleId="15">
    <w:name w:val="NormalIndent"/>
    <w:basedOn w:val="1"/>
    <w:qFormat/>
    <w:uiPriority w:val="0"/>
    <w:pPr>
      <w:spacing w:line="600" w:lineRule="exact"/>
      <w:ind w:firstLine="420" w:firstLineChars="200"/>
      <w:jc w:val="both"/>
      <w:textAlignment w:val="baseline"/>
    </w:pPr>
    <w:rPr>
      <w:rFonts w:ascii="仿宋_GB2312" w:hAnsi="Times New Roman" w:eastAsia="仿宋_GB2312" w:cs="Times New Roman"/>
      <w:kern w:val="2"/>
      <w:sz w:val="32"/>
      <w:szCs w:val="24"/>
      <w:lang w:val="en-US" w:eastAsia="zh-CN" w:bidi="ar-SA"/>
    </w:rPr>
  </w:style>
  <w:style w:type="paragraph" w:customStyle="1" w:styleId="16">
    <w:name w:val="新正文"/>
    <w:qFormat/>
    <w:uiPriority w:val="0"/>
    <w:pPr>
      <w:ind w:firstLine="200" w:firstLineChars="200"/>
    </w:pPr>
    <w:rPr>
      <w:rFonts w:ascii="仿宋_GB2312"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4068</Words>
  <Characters>4103</Characters>
  <Lines>0</Lines>
  <Paragraphs>0</Paragraphs>
  <TotalTime>19</TotalTime>
  <ScaleCrop>false</ScaleCrop>
  <LinksUpToDate>false</LinksUpToDate>
  <CharactersWithSpaces>4103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2014-11-07T04:08:00Z</dcterms:created>
  <dc:creator>lenovo</dc:creator>
  <cp:lastModifiedBy>Administrator</cp:lastModifiedBy>
  <cp:lastPrinted>2025-05-10T03:12:00Z</cp:lastPrinted>
  <dcterms:modified xsi:type="dcterms:W3CDTF">2025-05-14T07:09:01Z</dcterms:modified>
  <dc:title>三明市进一步加强招商引资工作的意见</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eyJoZGlkIjoiYzExN2Q0MGMyZjU5YzEzMDg4MTIyZWMyYjQ4ZDc4NzgifQ==</vt:lpwstr>
  </property>
  <property fmtid="{D5CDD505-2E9C-101B-9397-08002B2CF9AE}" pid="4" name="ICV">
    <vt:lpwstr>008FF0BEC8ED47378F0653EE9E92CA12_12</vt:lpwstr>
  </property>
</Properties>
</file>