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方正小标宋简体" w:cs="方正小标宋简体" w:eastAsia="方正仿宋_GBK" w:hAnsi="方正小标宋简体" w:hint="eastAsia"/>
          <w:color w:val="auto"/>
          <w:sz w:val="36"/>
          <w:szCs w:val="36"/>
          <w:u w:val="none"/>
          <w:lang w:eastAsia="zh-CN"/>
        </w:rPr>
      </w:pPr>
      <w:r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</w:rPr>
        <w:t>附件</w:t>
      </w:r>
      <w:r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eastAsia="zh-CN"/>
        </w:rPr>
        <w:t>：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color w:val="auto"/>
          <w:sz w:val="36"/>
          <w:szCs w:val="36"/>
          <w:u w:val="none"/>
        </w:rPr>
      </w:pPr>
      <w:r>
        <w:rPr>
          <w:rFonts w:ascii="方正小标宋简体" w:cs="方正小标宋简体" w:eastAsia="方正小标宋简体" w:hAnsi="方正小标宋简体" w:hint="eastAsia"/>
          <w:color w:val="auto"/>
          <w:sz w:val="36"/>
          <w:szCs w:val="36"/>
          <w:u w:val="none"/>
          <w:lang w:val="en-US" w:eastAsia="zh-CN"/>
        </w:rPr>
        <w:t>市场价格调查</w:t>
      </w:r>
      <w:r>
        <w:rPr>
          <w:rFonts w:ascii="方正小标宋简体" w:cs="方正小标宋简体" w:eastAsia="方正小标宋简体" w:hAnsi="方正小标宋简体" w:hint="eastAsia"/>
          <w:color w:val="auto"/>
          <w:sz w:val="36"/>
          <w:szCs w:val="36"/>
          <w:u w:val="none"/>
        </w:rPr>
        <w:t>报价单</w:t>
      </w:r>
    </w:p>
    <w:tbl>
      <w:tblPr>
        <w:tblStyle w:val="style154"/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7171"/>
      </w:tblGrid>
      <w:tr>
        <w:trPr>
          <w:trHeight w:val="690" w:hRule="exact"/>
          <w:jc w:val="center"/>
        </w:trPr>
        <w:tc>
          <w:tcPr>
            <w:tcW w:w="229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项目名称</w:t>
            </w:r>
          </w:p>
          <w:bookmarkStart w:id="0" w:name="_GoBack"/>
          <w:bookmarkEnd w:id="0"/>
        </w:tc>
        <w:tc>
          <w:tcPr>
            <w:tcW w:w="71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aps w:val="false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ffffff" w:fill="ffffff"/>
                <w:vertAlign w:val="baseline"/>
                <w:em w:val="none"/>
                <w:lang w:val="en-US" w:eastAsia="zh-CN"/>
              </w:rPr>
              <w:t>组织参加2024年第十八届中华老字号博览会展务承办项目</w:t>
            </w:r>
          </w:p>
        </w:tc>
      </w:tr>
      <w:tr>
        <w:tblPrEx/>
        <w:trPr>
          <w:trHeight w:val="510" w:hRule="exact"/>
          <w:jc w:val="center"/>
        </w:trPr>
        <w:tc>
          <w:tcPr>
            <w:tcW w:w="229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eastAsia="仿宋_GB2312" w:hint="eastAsia"/>
                <w:color w:val="auto"/>
                <w:u w:val="none"/>
                <w:lang w:eastAsia="zh-CN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报价单位名称</w:t>
            </w:r>
          </w:p>
        </w:tc>
        <w:tc>
          <w:tcPr>
            <w:tcW w:w="71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 w:hint="eastAsia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/>
        <w:trPr>
          <w:trHeight w:val="510" w:hRule="exact"/>
          <w:jc w:val="center"/>
        </w:trPr>
        <w:tc>
          <w:tcPr>
            <w:tcW w:w="229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单位地址</w:t>
            </w:r>
          </w:p>
        </w:tc>
        <w:tc>
          <w:tcPr>
            <w:tcW w:w="71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510" w:hRule="exact"/>
          <w:jc w:val="center"/>
        </w:trPr>
        <w:tc>
          <w:tcPr>
            <w:tcW w:w="229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71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510" w:hRule="exact"/>
          <w:jc w:val="center"/>
        </w:trPr>
        <w:tc>
          <w:tcPr>
            <w:tcW w:w="229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71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510" w:hRule="exact"/>
          <w:jc w:val="center"/>
        </w:trPr>
        <w:tc>
          <w:tcPr>
            <w:tcW w:w="229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 w:hint="eastAsia"/>
                <w:b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仿宋_GB2312" w:eastAsia="仿宋_GB2312" w:hint="eastAsia"/>
                <w:b/>
                <w:color w:val="auto"/>
                <w:sz w:val="28"/>
                <w:szCs w:val="28"/>
                <w:u w:val="none"/>
                <w:lang w:eastAsia="zh-CN"/>
              </w:rPr>
              <w:t>报价（万元）</w:t>
            </w:r>
          </w:p>
        </w:tc>
        <w:tc>
          <w:tcPr>
            <w:tcW w:w="71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1741" w:hRule="atLeast"/>
          <w:jc w:val="center"/>
        </w:trPr>
        <w:tc>
          <w:tcPr>
            <w:tcW w:w="229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法人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 w:hint="eastAsia"/>
                <w:b/>
                <w:color w:val="auto"/>
                <w:sz w:val="28"/>
                <w:szCs w:val="28"/>
                <w:u w:val="none"/>
              </w:rPr>
              <w:t>（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或授权人</w:t>
            </w:r>
            <w:r>
              <w:rPr>
                <w:rFonts w:ascii="仿宋_GB2312" w:eastAsia="仿宋_GB2312" w:hint="eastAsia"/>
                <w:b/>
                <w:color w:val="auto"/>
                <w:sz w:val="28"/>
                <w:szCs w:val="28"/>
                <w:u w:val="none"/>
              </w:rPr>
              <w:t>）</w:t>
            </w:r>
          </w:p>
        </w:tc>
        <w:tc>
          <w:tcPr>
            <w:tcW w:w="71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auto"/>
              <w:rPr>
                <w:rFonts w:ascii="仿宋_GB2312" w:eastAsia="仿宋_GB2312"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both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  <w:t>签名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  <w:u w:val="none"/>
              </w:rPr>
              <w:t xml:space="preserve">： 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单位：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  <w:u w:val="none"/>
              </w:rPr>
              <w:t>（公章）</w:t>
            </w:r>
          </w:p>
          <w:p>
            <w:pPr>
              <w:pStyle w:val="style4097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right="480"/>
              <w:jc w:val="righ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</w:t>
            </w:r>
            <w:r>
              <w:rPr>
                <w:color w:val="auto"/>
                <w:u w:val="none"/>
              </w:rPr>
              <w:t xml:space="preserve"> </w:t>
            </w:r>
          </w:p>
          <w:p>
            <w:pPr>
              <w:pStyle w:val="style4097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right="480"/>
              <w:jc w:val="right"/>
              <w:textAlignment w:val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 年</w:t>
            </w:r>
            <w:r>
              <w:rPr>
                <w:rFonts w:hint="eastAsia"/>
                <w:color w:val="auto"/>
                <w:u w:val="none"/>
              </w:rPr>
              <w:t xml:space="preserve"> </w:t>
            </w:r>
            <w:r>
              <w:rPr>
                <w:color w:val="auto"/>
                <w:u w:val="none"/>
              </w:rPr>
              <w:t xml:space="preserve">  月</w:t>
            </w:r>
            <w:r>
              <w:rPr>
                <w:rFonts w:hint="eastAsia"/>
                <w:color w:val="auto"/>
                <w:u w:val="none"/>
              </w:rPr>
              <w:t xml:space="preserve"> </w:t>
            </w:r>
            <w:r>
              <w:rPr>
                <w:color w:val="auto"/>
                <w:u w:val="none"/>
              </w:rPr>
              <w:t xml:space="preserve">  日</w:t>
            </w:r>
          </w:p>
        </w:tc>
      </w:tr>
    </w:tbl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jc w:val="left"/>
        <w:textAlignment w:val="auto"/>
        <w:rPr>
          <w:rFonts w:ascii="仿宋_GB2312" w:cs="Times New Roman" w:eastAsia="仿宋_GB2312" w:hAnsi="Calibri" w:hint="eastAsia"/>
          <w:b/>
          <w:bCs/>
          <w:color w:val="auto"/>
          <w:kern w:val="2"/>
          <w:sz w:val="28"/>
          <w:szCs w:val="28"/>
          <w:u w:val="none"/>
          <w:lang w:val="en-US" w:bidi="ar-SA" w:eastAsia="zh-CN"/>
        </w:rPr>
      </w:pPr>
      <w:r>
        <w:rPr>
          <w:rFonts w:ascii="仿宋_GB2312" w:cs="Times New Roman" w:eastAsia="仿宋_GB2312" w:hAnsi="Calibri" w:hint="eastAsia"/>
          <w:b/>
          <w:bCs/>
          <w:color w:val="auto"/>
          <w:kern w:val="2"/>
          <w:sz w:val="28"/>
          <w:szCs w:val="28"/>
          <w:u w:val="none"/>
          <w:lang w:val="en-US" w:bidi="ar-SA" w:eastAsia="zh-CN"/>
        </w:rPr>
        <w:t>备注：</w:t>
      </w: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280" w:hanging="280" w:hangingChars="100"/>
        <w:jc w:val="left"/>
        <w:textAlignment w:val="auto"/>
        <w:rPr>
          <w:rFonts w:ascii="仿宋_GB2312" w:eastAsia="仿宋_GB2312"/>
          <w:color w:val="auto"/>
          <w:sz w:val="28"/>
          <w:szCs w:val="28"/>
          <w:u w:val="none"/>
        </w:rPr>
      </w:pPr>
      <w:r>
        <w:rPr>
          <w:rFonts w:ascii="仿宋_GB2312" w:eastAsia="仿宋_GB2312" w:hint="eastAsia"/>
          <w:color w:val="auto"/>
          <w:sz w:val="28"/>
          <w:szCs w:val="28"/>
          <w:u w:val="none"/>
        </w:rPr>
        <w:t>1</w:t>
      </w:r>
      <w:r>
        <w:rPr>
          <w:rFonts w:ascii="仿宋_GB2312" w:eastAsia="仿宋_GB2312"/>
          <w:color w:val="auto"/>
          <w:sz w:val="28"/>
          <w:szCs w:val="28"/>
          <w:u w:val="none"/>
        </w:rPr>
        <w:t>.</w:t>
      </w:r>
      <w:r>
        <w:rPr>
          <w:rFonts w:ascii="仿宋_GB2312" w:eastAsia="仿宋_GB2312" w:hint="eastAsia"/>
          <w:color w:val="auto"/>
          <w:sz w:val="28"/>
          <w:szCs w:val="28"/>
          <w:u w:val="none"/>
          <w:lang w:eastAsia="zh-CN"/>
        </w:rPr>
        <w:t>提交</w:t>
      </w:r>
      <w:r>
        <w:rPr>
          <w:rFonts w:ascii="仿宋_GB2312" w:eastAsia="仿宋_GB2312"/>
          <w:color w:val="auto"/>
          <w:sz w:val="28"/>
          <w:szCs w:val="28"/>
          <w:u w:val="none"/>
        </w:rPr>
        <w:t>单位</w:t>
      </w:r>
      <w:r>
        <w:rPr>
          <w:rFonts w:ascii="仿宋_GB2312" w:eastAsia="仿宋_GB2312" w:hint="eastAsia"/>
          <w:color w:val="auto"/>
          <w:sz w:val="28"/>
          <w:szCs w:val="28"/>
          <w:u w:val="none"/>
          <w:lang w:eastAsia="zh-CN"/>
        </w:rPr>
        <w:t>需</w:t>
      </w:r>
      <w:r>
        <w:rPr>
          <w:rFonts w:ascii="仿宋_GB2312" w:eastAsia="仿宋_GB2312"/>
          <w:color w:val="auto"/>
          <w:sz w:val="28"/>
          <w:szCs w:val="28"/>
          <w:u w:val="none"/>
        </w:rPr>
        <w:t>符合</w:t>
      </w:r>
      <w:r>
        <w:rPr>
          <w:rFonts w:ascii="仿宋_GB2312" w:eastAsia="仿宋_GB2312" w:hint="eastAsia"/>
          <w:color w:val="auto"/>
          <w:sz w:val="28"/>
          <w:szCs w:val="28"/>
          <w:u w:val="none"/>
        </w:rPr>
        <w:t>《中华人民共和国政府采购法》第二十二条规定条件，不接受联合体</w:t>
      </w:r>
      <w:r>
        <w:rPr>
          <w:rFonts w:ascii="仿宋_GB2312" w:eastAsia="仿宋_GB2312" w:hint="eastAsia"/>
          <w:color w:val="auto"/>
          <w:sz w:val="28"/>
          <w:szCs w:val="28"/>
          <w:u w:val="none"/>
          <w:lang w:val="en-US" w:eastAsia="zh-CN"/>
        </w:rPr>
        <w:t>报价</w:t>
      </w:r>
      <w:r>
        <w:rPr>
          <w:rFonts w:ascii="仿宋_GB2312" w:eastAsia="仿宋_GB2312" w:hint="eastAsia"/>
          <w:color w:val="auto"/>
          <w:sz w:val="28"/>
          <w:szCs w:val="28"/>
          <w:u w:val="none"/>
        </w:rPr>
        <w:t>；</w:t>
      </w: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jc w:val="left"/>
        <w:textAlignment w:val="auto"/>
        <w:rPr>
          <w:rFonts w:ascii="仿宋_GB2312" w:eastAsia="仿宋_GB2312" w:hAnsi="Calibri"/>
          <w:color w:val="auto"/>
          <w:sz w:val="28"/>
          <w:szCs w:val="28"/>
          <w:u w:val="none"/>
        </w:rPr>
      </w:pPr>
      <w:r>
        <w:rPr>
          <w:rFonts w:ascii="仿宋_GB2312" w:eastAsia="仿宋_GB2312" w:hAnsi="Calibri" w:hint="eastAsia"/>
          <w:color w:val="auto"/>
          <w:sz w:val="28"/>
          <w:szCs w:val="28"/>
          <w:u w:val="none"/>
        </w:rPr>
        <w:t>2</w:t>
      </w:r>
      <w:r>
        <w:rPr>
          <w:rFonts w:ascii="仿宋_GB2312" w:eastAsia="仿宋_GB2312" w:hAnsi="Calibri"/>
          <w:color w:val="auto"/>
          <w:sz w:val="28"/>
          <w:szCs w:val="28"/>
          <w:u w:val="none"/>
        </w:rPr>
        <w:t>.</w:t>
      </w:r>
      <w:r>
        <w:rPr>
          <w:rFonts w:ascii="仿宋_GB2312" w:eastAsia="仿宋_GB2312" w:hAnsi="Calibri" w:hint="eastAsia"/>
          <w:color w:val="auto"/>
          <w:sz w:val="28"/>
          <w:szCs w:val="28"/>
          <w:u w:val="none"/>
        </w:rPr>
        <w:t>提交营业执照复印件、本</w:t>
      </w:r>
      <w:r>
        <w:rPr>
          <w:rFonts w:ascii="仿宋_GB2312" w:eastAsia="仿宋_GB2312" w:hint="eastAsia"/>
          <w:color w:val="auto"/>
          <w:sz w:val="28"/>
          <w:szCs w:val="28"/>
          <w:u w:val="none"/>
          <w:lang w:val="en-US" w:eastAsia="zh-CN"/>
        </w:rPr>
        <w:t>市场价格调查</w:t>
      </w:r>
      <w:r>
        <w:rPr>
          <w:rFonts w:ascii="仿宋_GB2312" w:eastAsia="仿宋_GB2312" w:hAnsi="Calibri" w:hint="eastAsia"/>
          <w:color w:val="auto"/>
          <w:sz w:val="28"/>
          <w:szCs w:val="28"/>
          <w:u w:val="none"/>
        </w:rPr>
        <w:t>报价单（均加盖公章）；</w:t>
      </w: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jc w:val="left"/>
        <w:textAlignment w:val="auto"/>
        <w:rPr>
          <w:rFonts w:ascii="仿宋_GB2312" w:eastAsia="仿宋_GB2312" w:hAnsi="Calibri"/>
          <w:color w:val="auto"/>
          <w:sz w:val="28"/>
          <w:szCs w:val="28"/>
          <w:u w:val="none"/>
        </w:rPr>
      </w:pPr>
      <w:r>
        <w:rPr>
          <w:rFonts w:ascii="仿宋_GB2312" w:eastAsia="仿宋_GB2312" w:hAnsi="Calibri" w:hint="eastAsia"/>
          <w:color w:val="auto"/>
          <w:sz w:val="28"/>
          <w:szCs w:val="28"/>
          <w:u w:val="none"/>
        </w:rPr>
        <w:t>3</w:t>
      </w:r>
      <w:r>
        <w:rPr>
          <w:rFonts w:ascii="仿宋_GB2312" w:eastAsia="仿宋_GB2312" w:hAnsi="Calibri"/>
          <w:color w:val="auto"/>
          <w:sz w:val="28"/>
          <w:szCs w:val="28"/>
          <w:u w:val="none"/>
        </w:rPr>
        <w:t>.</w:t>
      </w:r>
      <w:r>
        <w:rPr>
          <w:rFonts w:ascii="仿宋_GB2312" w:eastAsia="仿宋_GB2312" w:hAnsi="Calibri" w:hint="eastAsia"/>
          <w:color w:val="auto"/>
          <w:sz w:val="28"/>
          <w:szCs w:val="28"/>
          <w:u w:val="none"/>
        </w:rPr>
        <w:t>所递送文件需自行密封并在封口处加盖</w:t>
      </w:r>
      <w:r>
        <w:rPr>
          <w:rFonts w:ascii="仿宋_GB2312" w:eastAsia="仿宋_GB2312" w:hint="eastAsia"/>
          <w:color w:val="auto"/>
          <w:sz w:val="28"/>
          <w:szCs w:val="28"/>
          <w:u w:val="none"/>
          <w:lang w:eastAsia="zh-CN"/>
        </w:rPr>
        <w:t>公章。</w:t>
      </w: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43"/>
        <w:keepNext w:val="false"/>
        <w:keepLines w:val="false"/>
        <w:pageBreakBefore w:val="false"/>
        <w:wordWrap/>
        <w:topLinePunct w:val="false"/>
        <w:bidi w:val="false"/>
        <w:spacing w:lineRule="exact" w:line="560"/>
        <w:ind w:firstLine="640" w:firstLineChars="200"/>
        <w:jc w:val="left"/>
        <w:textAlignment w:val="auto"/>
        <w:rPr>
          <w:rFonts w:ascii="方正仿宋_GBK" w:cs="方正仿宋_GBK" w:eastAsia="方正仿宋_GBK" w:hAnsi="方正仿宋_GBK" w:hint="eastAsia"/>
          <w:color w:val="auto"/>
          <w:sz w:val="32"/>
          <w:szCs w:val="32"/>
          <w:u w:val="none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ordWrap/>
        <w:topLinePunct w:val="false"/>
        <w:bidi w:val="false"/>
        <w:spacing w:lineRule="exact" w:line="560"/>
        <w:jc w:val="left"/>
        <w:textAlignment w:val="auto"/>
        <w:rPr>
          <w:rFonts w:ascii="方正仿宋_GBK" w:cs="方正仿宋_GBK" w:eastAsia="方正仿宋_GBK" w:hAnsi="方正仿宋_GBK" w:hint="eastAsia"/>
          <w:sz w:val="32"/>
          <w:szCs w:val="32"/>
        </w:rPr>
      </w:pPr>
    </w:p>
    <w:p>
      <w:pPr>
        <w:pStyle w:val="style0"/>
        <w:ind w:firstLine="5440" w:firstLineChars="1700"/>
        <w:rPr>
          <w:rFonts w:ascii="仿宋_GB2312" w:cs="仿宋_GB2312" w:eastAsia="仿宋_GB2312" w:hAnsi="仿宋_GB2312" w:hint="eastAsia"/>
          <w:color w:val="auto"/>
          <w:sz w:val="32"/>
          <w:szCs w:val="32"/>
          <w:u w:val="none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4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altName w:val="PingFang SC"/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altName w:val="Tahoma"/>
    <w:panose1 w:val="020b0604030005040204"/>
    <w:charset w:val="00"/>
    <w:family w:val="auto"/>
    <w:pitch w:val="default"/>
    <w:sig w:usb0="E1002AFF" w:usb1="C000605B" w:usb2="00000029" w:usb3="00000000" w:csb0="200101FF" w:csb1="2028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insoku w:val="false"/>
      <w:overflowPunct w:val="false"/>
      <w:autoSpaceDE w:val="false"/>
      <w:autoSpaceDN w:val="false"/>
      <w:adjustRightInd w:val="false"/>
      <w:snapToGrid w:val="false"/>
      <w:jc w:val="left"/>
      <w:outlineLvl w:val="1"/>
    </w:pPr>
    <w:rPr>
      <w:rFonts w:cs="宋体"/>
      <w:b/>
      <w:sz w:val="28"/>
      <w:szCs w:val="2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3">
    <w:name w:val="endnote text"/>
    <w:next w:val="style43"/>
    <w:qFormat/>
    <w:uiPriority w:val="0"/>
    <w:pPr>
      <w:widowControl w:val="false"/>
      <w:snapToGrid w:val="false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153">
    <w:name w:val="Balloon Text"/>
    <w:basedOn w:val="style0"/>
    <w:next w:val="style43"/>
    <w:qFormat/>
    <w:uiPriority w:val="99"/>
    <w:pPr>
      <w:widowControl w:val="false"/>
      <w:jc w:val="both"/>
    </w:pPr>
    <w:rPr>
      <w:rFonts w:ascii="Calibri" w:cs="Times New Roman" w:eastAsia="宋体" w:hAnsi="Calibri"/>
      <w:kern w:val="2"/>
      <w:sz w:val="18"/>
      <w:szCs w:val="18"/>
      <w:lang w:val="en-US" w:bidi="ar-SA" w:eastAsia="zh-CN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无间隔1"/>
    <w:basedOn w:val="style0"/>
    <w:next w:val="style4097"/>
    <w:qFormat/>
    <w:uiPriority w:val="0"/>
    <w:pPr>
      <w:spacing w:lineRule="exact" w:line="400"/>
    </w:pPr>
    <w:rPr>
      <w:rFonts w:ascii="Times New Roman" w:hAnsi="Times New Roman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178</Words>
  <Pages>1</Pages>
  <Characters>184</Characters>
  <Application>WPS Office</Application>
  <DocSecurity>0</DocSecurity>
  <Paragraphs>41</Paragraphs>
  <ScaleCrop>false</ScaleCrop>
  <LinksUpToDate>false</LinksUpToDate>
  <CharactersWithSpaces>237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2024-09-04T12:41:00Z</dcterms:created>
  <dc:creator>Lenovo</dc:creator>
  <lastModifiedBy>V2217A</lastModifiedBy>
  <dcterms:modified xsi:type="dcterms:W3CDTF">2024-09-04T12:41:00Z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33eeb74e2e4243c7be2d08c32a319e06_23</vt:lpwstr>
  </property>
</Properties>
</file>