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eastAsia="zh-CN"/>
        </w:rPr>
      </w:pPr>
      <w:bookmarkStart w:id="0" w:name="_GoBack"/>
      <w:bookmarkEnd w:id="0"/>
      <w:r>
        <w:rPr>
          <w:rFonts w:hint="eastAsia" w:ascii="方正小标宋简体" w:hAnsi="方正小标宋简体" w:eastAsia="方正小标宋简体" w:cs="方正小标宋简体"/>
          <w:sz w:val="36"/>
          <w:szCs w:val="36"/>
          <w:lang w:eastAsia="zh-CN"/>
        </w:rPr>
        <w:t>三明市商务局</w:t>
      </w:r>
      <w:r>
        <w:rPr>
          <w:rFonts w:hint="eastAsia" w:ascii="方正小标宋简体" w:hAnsi="方正小标宋简体" w:eastAsia="方正小标宋简体" w:cs="方正小标宋简体"/>
          <w:sz w:val="36"/>
          <w:szCs w:val="36"/>
        </w:rPr>
        <w:t>关于征集</w:t>
      </w:r>
      <w:r>
        <w:rPr>
          <w:rFonts w:hint="eastAsia" w:ascii="方正小标宋简体" w:hAnsi="方正小标宋简体" w:eastAsia="方正小标宋简体" w:cs="方正小标宋简体"/>
          <w:sz w:val="36"/>
          <w:szCs w:val="36"/>
          <w:lang w:eastAsia="zh-CN"/>
        </w:rPr>
        <w:t>参加家电</w:t>
      </w:r>
      <w:r>
        <w:rPr>
          <w:rFonts w:hint="eastAsia" w:ascii="方正小标宋简体" w:hAnsi="方正小标宋简体" w:eastAsia="方正小标宋简体" w:cs="方正小标宋简体"/>
          <w:sz w:val="36"/>
          <w:szCs w:val="36"/>
        </w:rPr>
        <w:t>以旧换新</w:t>
      </w:r>
      <w:r>
        <w:rPr>
          <w:rFonts w:hint="eastAsia" w:ascii="方正小标宋简体" w:hAnsi="方正小标宋简体" w:eastAsia="方正小标宋简体" w:cs="方正小标宋简体"/>
          <w:sz w:val="36"/>
          <w:szCs w:val="36"/>
          <w:lang w:eastAsia="zh-CN"/>
        </w:rPr>
        <w:t>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家装厨卫“焕新”补贴活动</w:t>
      </w:r>
      <w:r>
        <w:rPr>
          <w:rFonts w:hint="eastAsia" w:ascii="方正小标宋简体" w:hAnsi="方正小标宋简体" w:eastAsia="方正小标宋简体" w:cs="方正小标宋简体"/>
          <w:sz w:val="36"/>
          <w:szCs w:val="36"/>
        </w:rPr>
        <w:t>企业的公告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根据《福建省商务厅 福建省财政厅关于印发“消费品以旧换新”相关工作实施细则的通知》（闽商务〔2024〕</w:t>
      </w:r>
      <w:r>
        <w:rPr>
          <w:rFonts w:hint="eastAsia" w:ascii="仿宋_GB2312" w:hAnsi="仿宋_GB2312" w:eastAsia="仿宋_GB2312" w:cs="仿宋_GB2312"/>
          <w:sz w:val="32"/>
          <w:szCs w:val="32"/>
          <w:lang w:val="en-US" w:eastAsia="zh-CN"/>
        </w:rPr>
        <w:t>119</w:t>
      </w:r>
      <w:r>
        <w:rPr>
          <w:rFonts w:hint="eastAsia" w:ascii="仿宋_GB2312" w:hAnsi="仿宋_GB2312" w:eastAsia="仿宋_GB2312" w:cs="仿宋_GB2312"/>
          <w:sz w:val="32"/>
          <w:szCs w:val="32"/>
          <w:lang w:eastAsia="zh-CN"/>
        </w:rPr>
        <w:t>号）精神，为有序推动我市消费品以旧换新工作，进一步释放家电、家装厨卫领域消费潜力，确保各项惠民活动顺利进行，现按照公平、公正、公开的原则，面向全市范围内公开征集2024年家电以旧换新及家装厨卫“焕新”补贴活动的参与企业，现将有关事项公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一、征集对象与条件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本次征集主要面向以下两类企业：</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（一）家电销售企业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1.在三明市依法注册符合条件的独立法人企业，现有销售补贴范围内的家电产品（</w:t>
      </w:r>
      <w:r>
        <w:rPr>
          <w:rFonts w:hint="eastAsia" w:ascii="仿宋_GB2312" w:hAnsi="仿宋_GB2312" w:eastAsia="仿宋_GB2312" w:cs="仿宋_GB2312"/>
          <w:b w:val="0"/>
          <w:bCs w:val="0"/>
          <w:spacing w:val="9"/>
          <w:sz w:val="32"/>
          <w:szCs w:val="32"/>
        </w:rPr>
        <w:t>洗衣机、冰箱、电视、空调、热水器、烟机灶具、洗碗机、蒸烤箱、烘干机、扫地机、智能卫浴、按摩椅</w:t>
      </w:r>
      <w:r>
        <w:rPr>
          <w:rFonts w:hint="eastAsia" w:ascii="仿宋_GB2312" w:hAnsi="仿宋_GB2312" w:eastAsia="仿宋_GB2312" w:cs="仿宋_GB2312"/>
          <w:b w:val="0"/>
          <w:bCs w:val="0"/>
          <w:spacing w:val="9"/>
          <w:sz w:val="32"/>
          <w:szCs w:val="32"/>
          <w:lang w:eastAsia="zh-CN"/>
        </w:rPr>
        <w:t>共</w:t>
      </w:r>
      <w:r>
        <w:rPr>
          <w:rFonts w:hint="eastAsia" w:ascii="仿宋_GB2312" w:hAnsi="仿宋_GB2312" w:eastAsia="仿宋_GB2312" w:cs="仿宋_GB2312"/>
          <w:b w:val="0"/>
          <w:bCs w:val="0"/>
          <w:spacing w:val="9"/>
          <w:sz w:val="32"/>
          <w:szCs w:val="32"/>
        </w:rPr>
        <w:t>12类家电</w:t>
      </w:r>
      <w:r>
        <w:rPr>
          <w:rFonts w:hint="eastAsia" w:ascii="仿宋_GB2312" w:hAnsi="仿宋_GB2312" w:eastAsia="仿宋_GB2312" w:cs="仿宋_GB2312"/>
          <w:b w:val="0"/>
          <w:bCs w:val="0"/>
          <w:spacing w:val="9"/>
          <w:sz w:val="32"/>
          <w:szCs w:val="32"/>
          <w:lang w:eastAsia="zh-CN"/>
        </w:rPr>
        <w:t>产品</w:t>
      </w:r>
      <w:r>
        <w:rPr>
          <w:rFonts w:hint="eastAsia" w:ascii="仿宋_GB2312" w:hAnsi="仿宋_GB2312" w:eastAsia="仿宋_GB2312" w:cs="仿宋_GB2312"/>
          <w:sz w:val="32"/>
          <w:szCs w:val="32"/>
          <w:lang w:val="en-US" w:eastAsia="zh-CN"/>
        </w:rPr>
        <w:t>），能向消费者开具相关销售统一发票，具备和服务机构平台进行对接的能力，具有较强的仓储及配送能力，能够提供上门送货、安装、逆向物流等售后服务能力并保证服务质量。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具备相应的回收能力或其合作的回收企业具备相应回收能力，并向商务部门提供回收企业资质、废旧家电回收流程、家电以旧换新活动方案，以及2023年度家电销售额、2023年度废旧家电回收总量。活动期间，参与商家需按月报送家电销售额、废旧家电回收数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3.管理运营规范，未被列入失信被执行人或重大税收违法案件当事人名单。具有防范骗补、套补等行为的综合处置能力，近期在类似政策或活动中未发生重大资金安全风险和隐患。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承诺做到诚信经营，不搞虚假、违规促销；企业需通过培训等方式向员工说明家电以旧换新活动的具体规则和执行要求；不得通过虚开发票、明买暗退、合谋套补等手段骗取财政补贴，不得增设享受补贴政策任何附加条件，一经查实取消参与活动资格，追回违规发放补贴资金，并按照有关法律、法规、规章追究相应责任。涉嫌犯罪的，依法移交司法机关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5.家电销售企业应主动联合家电厂家、品牌方叠加优惠让利，保证商品质量和服务质量，及时处置消费投诉，杜绝假冒伪劣、以次充好、以旧充新的产品进入市场流通。</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（二）家装厨卫销售企业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1.在三明市依法注册符合条件的独立法人企业，现有销售补贴范围内的家装厨卫产品（</w:t>
      </w:r>
      <w:r>
        <w:rPr>
          <w:rFonts w:hint="eastAsia" w:ascii="仿宋_GB2312" w:hAnsi="仿宋_GB2312" w:eastAsia="仿宋_GB2312" w:cs="仿宋_GB2312"/>
          <w:spacing w:val="3"/>
          <w:sz w:val="32"/>
          <w:szCs w:val="32"/>
        </w:rPr>
        <w:t>淋浴器、坐便器、床、床垫、</w:t>
      </w:r>
      <w:r>
        <w:rPr>
          <w:rFonts w:hint="eastAsia" w:ascii="仿宋_GB2312" w:hAnsi="仿宋_GB2312" w:eastAsia="仿宋_GB2312" w:cs="仿宋_GB2312"/>
          <w:spacing w:val="2"/>
          <w:sz w:val="32"/>
          <w:szCs w:val="32"/>
        </w:rPr>
        <w:t>沙发、茶桌</w:t>
      </w:r>
      <w:r>
        <w:rPr>
          <w:rFonts w:hint="eastAsia" w:ascii="仿宋_GB2312" w:hAnsi="仿宋_GB2312" w:eastAsia="仿宋_GB2312" w:cs="仿宋_GB2312"/>
          <w:spacing w:val="4"/>
          <w:sz w:val="32"/>
          <w:szCs w:val="32"/>
        </w:rPr>
        <w:t>茶几、橱柜、衣柜、书柜、餐桌椅、书桌椅</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3"/>
          <w:sz w:val="32"/>
          <w:szCs w:val="32"/>
        </w:rPr>
        <w:t>智能门锁</w:t>
      </w:r>
      <w:r>
        <w:rPr>
          <w:rFonts w:hint="eastAsia" w:ascii="仿宋_GB2312" w:hAnsi="仿宋_GB2312" w:eastAsia="仿宋_GB2312" w:cs="仿宋_GB2312"/>
          <w:spacing w:val="4"/>
          <w:sz w:val="32"/>
          <w:szCs w:val="32"/>
        </w:rPr>
        <w:t>12个品类</w:t>
      </w:r>
      <w:r>
        <w:rPr>
          <w:rFonts w:hint="eastAsia" w:ascii="仿宋_GB2312" w:hAnsi="仿宋_GB2312" w:eastAsia="仿宋_GB2312" w:cs="仿宋_GB2312"/>
          <w:sz w:val="32"/>
          <w:szCs w:val="32"/>
          <w:lang w:val="en-US" w:eastAsia="zh-CN"/>
        </w:rPr>
        <w:t>），能向消费者开具相关销售统一发票，具备和服务机构平台进行对接的能力。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管理运营规范，未被列入“失信被执行人或重大税收违法案件当事人名单”；经营稳健，网点布局能够满足消费者需求，货源充足、供应及时；具有规范的出入库管理机制，能提供活动相关的台账资料，自觉接受社会各方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承诺做到诚信经营，不搞虚假、违规促销；企业需通过培训等方式向员工说明家装厨卫“焕新”活动的具体规则和执行要求；不得通过虚开发票、明买暗退、合谋套补等手段骗取财政补贴，不得增设享受补贴政策任何附加条件，一经查实取消参与活动资格，追回违规发放补贴资金，并按照有关法律、法规、规章追究相应责任。涉嫌犯罪的，依法移交司法机关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4.家装厨卫销售企业应主动联合厂家、品牌方叠加优惠让利，保证商品质量和服务质量，及时处置消费投诉，杜绝假冒伪劣、以次充好、以旧充新的产品进入市场流通。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二、申报材料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三明</w:t>
      </w:r>
      <w:r>
        <w:rPr>
          <w:rFonts w:hint="default" w:ascii="仿宋_GB2312" w:hAnsi="仿宋_GB2312" w:eastAsia="仿宋_GB2312" w:cs="仿宋_GB2312"/>
          <w:sz w:val="32"/>
          <w:szCs w:val="32"/>
          <w:lang w:val="en-US" w:eastAsia="zh-CN"/>
        </w:rPr>
        <w:t>市家电以旧换新</w:t>
      </w:r>
      <w:r>
        <w:rPr>
          <w:rFonts w:hint="eastAsia" w:ascii="仿宋_GB2312" w:hAnsi="仿宋_GB2312" w:eastAsia="仿宋_GB2312" w:cs="仿宋_GB2312"/>
          <w:sz w:val="32"/>
          <w:szCs w:val="32"/>
          <w:lang w:val="en-US" w:eastAsia="zh-CN"/>
        </w:rPr>
        <w:t>/家装厨卫“焕新”</w:t>
      </w:r>
      <w:r>
        <w:rPr>
          <w:rFonts w:hint="default" w:ascii="仿宋_GB2312" w:hAnsi="仿宋_GB2312" w:eastAsia="仿宋_GB2312" w:cs="仿宋_GB2312"/>
          <w:sz w:val="32"/>
          <w:szCs w:val="32"/>
          <w:lang w:val="en-US" w:eastAsia="zh-CN"/>
        </w:rPr>
        <w:t>活动参与企业申请表（附件1）；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2.诚信承诺书（附件2）；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3.参与活动企业门店目录表（附件3）；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4.提供2023年度、2024年1-6月销售额（提供税务部门《销售额纳税证明》</w:t>
      </w:r>
      <w:r>
        <w:rPr>
          <w:rFonts w:hint="eastAsia" w:ascii="仿宋_GB2312" w:hAnsi="仿宋_GB2312" w:eastAsia="仿宋_GB2312" w:cs="仿宋_GB2312"/>
          <w:sz w:val="32"/>
          <w:szCs w:val="32"/>
          <w:lang w:val="en-US" w:eastAsia="zh-CN"/>
        </w:rPr>
        <w:t>、限上商贸企业提供报统计局销售数据截图</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5.营业执照、法人代表身份证复印件（盖章）；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6.“信用中国”网站打印的企业《信用信息报告》</w:t>
      </w:r>
      <w:r>
        <w:rPr>
          <w:rFonts w:hint="eastAsia" w:ascii="仿宋_GB2312" w:hAnsi="仿宋_GB2312" w:eastAsia="仿宋_GB2312" w:cs="仿宋_GB2312"/>
          <w:sz w:val="32"/>
          <w:szCs w:val="32"/>
          <w:lang w:val="en-US" w:eastAsia="zh-CN"/>
        </w:rPr>
        <w:t>（在https://www.creditchina.gov.cn/下载打印）</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.具备完善的家电</w:t>
      </w:r>
      <w:r>
        <w:rPr>
          <w:rFonts w:hint="eastAsia" w:ascii="仿宋_GB2312" w:hAnsi="仿宋_GB2312" w:eastAsia="仿宋_GB2312" w:cs="仿宋_GB2312"/>
          <w:sz w:val="32"/>
          <w:szCs w:val="32"/>
          <w:lang w:val="en-US" w:eastAsia="zh-CN"/>
        </w:rPr>
        <w:t>、家装厨卫</w:t>
      </w:r>
      <w:r>
        <w:rPr>
          <w:rFonts w:hint="default" w:ascii="仿宋_GB2312" w:hAnsi="仿宋_GB2312" w:eastAsia="仿宋_GB2312" w:cs="仿宋_GB2312"/>
          <w:sz w:val="32"/>
          <w:szCs w:val="32"/>
          <w:lang w:val="en-US" w:eastAsia="zh-CN"/>
        </w:rPr>
        <w:t>送货、安装、调试、维修的售后服务体系的证明材料；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US" w:eastAsia="zh-CN"/>
        </w:rPr>
        <w:t>.家电销售企业提供能够证明其自身或委托的企业具备回收资质的相关证明材料，制定家电回收流程。具有回收资质的家电销售企业或受委托的回收企业需提供与报废家电拆解企业的长期合作协议及报废家电拆解企业资质（盖章）</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三、申报流程</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（一）报名方式。</w:t>
      </w:r>
      <w:r>
        <w:rPr>
          <w:rFonts w:hint="eastAsia" w:ascii="仿宋_GB2312" w:hAnsi="仿宋_GB2312" w:eastAsia="仿宋_GB2312" w:cs="仿宋_GB2312"/>
          <w:b w:val="0"/>
          <w:bCs w:val="0"/>
          <w:sz w:val="32"/>
          <w:szCs w:val="32"/>
          <w:lang w:val="en-US" w:eastAsia="zh-CN"/>
        </w:rPr>
        <w:t>根据企业自愿报名原则，</w:t>
      </w:r>
      <w:r>
        <w:rPr>
          <w:rFonts w:hint="default" w:ascii="仿宋_GB2312" w:hAnsi="仿宋_GB2312" w:eastAsia="仿宋_GB2312" w:cs="仿宋_GB2312"/>
          <w:sz w:val="32"/>
          <w:szCs w:val="32"/>
          <w:lang w:val="en-US" w:eastAsia="zh-CN"/>
        </w:rPr>
        <w:t>有意愿参与活动的企业向属</w:t>
      </w:r>
      <w:r>
        <w:rPr>
          <w:rFonts w:hint="eastAsia" w:ascii="仿宋_GB2312" w:hAnsi="仿宋_GB2312" w:eastAsia="仿宋_GB2312" w:cs="仿宋_GB2312"/>
          <w:sz w:val="32"/>
          <w:szCs w:val="32"/>
          <w:lang w:val="en-US" w:eastAsia="zh-CN"/>
        </w:rPr>
        <w:t>地</w:t>
      </w:r>
      <w:r>
        <w:rPr>
          <w:rFonts w:hint="default" w:ascii="仿宋_GB2312" w:hAnsi="仿宋_GB2312" w:eastAsia="仿宋_GB2312" w:cs="仿宋_GB2312"/>
          <w:sz w:val="32"/>
          <w:szCs w:val="32"/>
          <w:lang w:val="en-US" w:eastAsia="zh-CN"/>
        </w:rPr>
        <w:t>商务主管部门提交报名资料（申报材料需编制目录，并用A4纸装订成册，</w:t>
      </w:r>
      <w:r>
        <w:rPr>
          <w:rFonts w:hint="eastAsia" w:ascii="仿宋_GB2312" w:hAnsi="仿宋_GB2312" w:eastAsia="仿宋_GB2312" w:cs="仿宋_GB2312"/>
          <w:sz w:val="32"/>
          <w:szCs w:val="32"/>
          <w:lang w:val="en-US" w:eastAsia="zh-CN"/>
        </w:rPr>
        <w:t>三明</w:t>
      </w:r>
      <w:r>
        <w:rPr>
          <w:rFonts w:hint="default" w:ascii="仿宋_GB2312" w:hAnsi="仿宋_GB2312" w:eastAsia="仿宋_GB2312" w:cs="仿宋_GB2312"/>
          <w:sz w:val="32"/>
          <w:szCs w:val="32"/>
          <w:lang w:val="en-US" w:eastAsia="zh-CN"/>
        </w:rPr>
        <w:t>市商务局、属</w:t>
      </w:r>
      <w:r>
        <w:rPr>
          <w:rFonts w:hint="eastAsia" w:ascii="仿宋_GB2312" w:hAnsi="仿宋_GB2312" w:eastAsia="仿宋_GB2312" w:cs="仿宋_GB2312"/>
          <w:sz w:val="32"/>
          <w:szCs w:val="32"/>
          <w:lang w:val="en-US" w:eastAsia="zh-CN"/>
        </w:rPr>
        <w:t>地</w:t>
      </w:r>
      <w:r>
        <w:rPr>
          <w:rFonts w:hint="default" w:ascii="仿宋_GB2312" w:hAnsi="仿宋_GB2312" w:eastAsia="仿宋_GB2312" w:cs="仿宋_GB2312"/>
          <w:sz w:val="32"/>
          <w:szCs w:val="32"/>
          <w:lang w:val="en-US" w:eastAsia="zh-CN"/>
        </w:rPr>
        <w:t>商务主管部门各一份</w:t>
      </w:r>
      <w:r>
        <w:rPr>
          <w:rFonts w:hint="eastAsia" w:ascii="仿宋_GB2312" w:hAnsi="仿宋_GB2312" w:eastAsia="仿宋_GB2312" w:cs="仿宋_GB2312"/>
          <w:sz w:val="32"/>
          <w:szCs w:val="32"/>
          <w:lang w:val="en-US" w:eastAsia="zh-CN"/>
        </w:rPr>
        <w:t>，同时提交电子版</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（二）报名时间。</w:t>
      </w:r>
      <w:r>
        <w:rPr>
          <w:rFonts w:hint="eastAsia" w:ascii="仿宋_GB2312" w:hAnsi="仿宋_GB2312" w:eastAsia="仿宋_GB2312" w:cs="仿宋_GB2312"/>
          <w:sz w:val="32"/>
          <w:szCs w:val="32"/>
          <w:lang w:val="en-US" w:eastAsia="zh-CN"/>
        </w:rPr>
        <w:t>2024年7月22</w:t>
      </w:r>
      <w:r>
        <w:rPr>
          <w:rFonts w:hint="default" w:ascii="仿宋_GB2312" w:hAnsi="仿宋_GB2312" w:eastAsia="仿宋_GB2312" w:cs="仿宋_GB2312"/>
          <w:sz w:val="32"/>
          <w:szCs w:val="32"/>
          <w:lang w:val="en-US" w:eastAsia="zh-CN"/>
        </w:rPr>
        <w:t>至7月</w:t>
      </w:r>
      <w:r>
        <w:rPr>
          <w:rFonts w:hint="eastAsia" w:ascii="仿宋_GB2312" w:hAnsi="仿宋_GB2312" w:eastAsia="仿宋_GB2312" w:cs="仿宋_GB2312"/>
          <w:sz w:val="32"/>
          <w:szCs w:val="32"/>
          <w:lang w:val="en-US" w:eastAsia="zh-CN"/>
        </w:rPr>
        <w:t>26</w:t>
      </w:r>
      <w:r>
        <w:rPr>
          <w:rFonts w:hint="default"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lang w:val="en-US" w:eastAsia="zh-CN"/>
        </w:rPr>
        <w:t>（工作日上班时间），</w:t>
      </w:r>
      <w:r>
        <w:rPr>
          <w:rFonts w:hint="default" w:ascii="仿宋_GB2312" w:hAnsi="仿宋_GB2312" w:eastAsia="仿宋_GB2312" w:cs="仿宋_GB2312"/>
          <w:sz w:val="32"/>
          <w:szCs w:val="32"/>
          <w:lang w:val="en-US" w:eastAsia="zh-CN"/>
        </w:rPr>
        <w:t>报名截止日期后，将不再受理报名申请。</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（三）企业确定。</w:t>
      </w:r>
      <w:r>
        <w:rPr>
          <w:rFonts w:hint="default"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lang w:val="en-US" w:eastAsia="zh-CN"/>
        </w:rPr>
        <w:t>县（市、区）</w:t>
      </w:r>
      <w:r>
        <w:rPr>
          <w:rFonts w:hint="default" w:ascii="仿宋_GB2312" w:hAnsi="仿宋_GB2312" w:eastAsia="仿宋_GB2312" w:cs="仿宋_GB2312"/>
          <w:sz w:val="32"/>
          <w:szCs w:val="32"/>
          <w:lang w:val="en-US" w:eastAsia="zh-CN"/>
        </w:rPr>
        <w:t>商务主管部门要广泛发动、征集</w:t>
      </w:r>
      <w:r>
        <w:rPr>
          <w:rFonts w:hint="eastAsia" w:ascii="仿宋_GB2312" w:hAnsi="仿宋_GB2312" w:eastAsia="仿宋_GB2312" w:cs="仿宋_GB2312"/>
          <w:sz w:val="32"/>
          <w:szCs w:val="32"/>
          <w:lang w:val="en-US" w:eastAsia="zh-CN"/>
        </w:rPr>
        <w:t>相关企业</w:t>
      </w:r>
      <w:r>
        <w:rPr>
          <w:rFonts w:hint="default" w:ascii="仿宋_GB2312" w:hAnsi="仿宋_GB2312" w:eastAsia="仿宋_GB2312" w:cs="仿宋_GB2312"/>
          <w:sz w:val="32"/>
          <w:szCs w:val="32"/>
          <w:lang w:val="en-US" w:eastAsia="zh-CN"/>
        </w:rPr>
        <w:t>积极</w:t>
      </w:r>
      <w:r>
        <w:rPr>
          <w:rFonts w:hint="eastAsia" w:ascii="仿宋_GB2312" w:hAnsi="仿宋_GB2312" w:eastAsia="仿宋_GB2312" w:cs="仿宋_GB2312"/>
          <w:sz w:val="32"/>
          <w:szCs w:val="32"/>
          <w:lang w:val="en-US" w:eastAsia="zh-CN"/>
        </w:rPr>
        <w:t>参与</w:t>
      </w:r>
      <w:r>
        <w:rPr>
          <w:rFonts w:hint="default" w:ascii="仿宋_GB2312" w:hAnsi="仿宋_GB2312" w:eastAsia="仿宋_GB2312" w:cs="仿宋_GB2312"/>
          <w:sz w:val="32"/>
          <w:szCs w:val="32"/>
          <w:lang w:val="en-US" w:eastAsia="zh-CN"/>
        </w:rPr>
        <w:t>报名，并对各</w:t>
      </w:r>
      <w:r>
        <w:rPr>
          <w:rFonts w:hint="eastAsia" w:ascii="仿宋_GB2312" w:hAnsi="仿宋_GB2312" w:eastAsia="仿宋_GB2312" w:cs="仿宋_GB2312"/>
          <w:sz w:val="32"/>
          <w:szCs w:val="32"/>
          <w:lang w:val="en-US" w:eastAsia="zh-CN"/>
        </w:rPr>
        <w:t>企业</w:t>
      </w:r>
      <w:r>
        <w:rPr>
          <w:rFonts w:hint="default" w:ascii="仿宋_GB2312" w:hAnsi="仿宋_GB2312" w:eastAsia="仿宋_GB2312" w:cs="仿宋_GB2312"/>
          <w:sz w:val="32"/>
          <w:szCs w:val="32"/>
          <w:lang w:val="en-US" w:eastAsia="zh-CN"/>
        </w:rPr>
        <w:t>报送资料的完整性、真实性及是否符合申报条件等进行审核，</w:t>
      </w: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29</w:t>
      </w:r>
      <w:r>
        <w:rPr>
          <w:rFonts w:hint="default" w:ascii="仿宋_GB2312" w:hAnsi="仿宋_GB2312" w:eastAsia="仿宋_GB2312" w:cs="仿宋_GB2312"/>
          <w:sz w:val="32"/>
          <w:szCs w:val="32"/>
          <w:lang w:val="en-US" w:eastAsia="zh-CN"/>
        </w:rPr>
        <w:t>日前，将审核通过的企业资料按类别整理成册，以正式</w:t>
      </w:r>
      <w:r>
        <w:rPr>
          <w:rFonts w:hint="eastAsia" w:ascii="仿宋_GB2312" w:hAnsi="仿宋_GB2312" w:eastAsia="仿宋_GB2312" w:cs="仿宋_GB2312"/>
          <w:sz w:val="32"/>
          <w:szCs w:val="32"/>
          <w:lang w:val="en-US" w:eastAsia="zh-CN"/>
        </w:rPr>
        <w:t>行文</w:t>
      </w:r>
      <w:r>
        <w:rPr>
          <w:rFonts w:hint="default" w:ascii="仿宋_GB2312" w:hAnsi="仿宋_GB2312" w:eastAsia="仿宋_GB2312" w:cs="仿宋_GB2312"/>
          <w:sz w:val="32"/>
          <w:szCs w:val="32"/>
          <w:lang w:val="en-US" w:eastAsia="zh-CN"/>
        </w:rPr>
        <w:t>推荐报送</w:t>
      </w:r>
      <w:r>
        <w:rPr>
          <w:rFonts w:hint="eastAsia" w:ascii="仿宋_GB2312" w:hAnsi="仿宋_GB2312" w:eastAsia="仿宋_GB2312" w:cs="仿宋_GB2312"/>
          <w:sz w:val="32"/>
          <w:szCs w:val="32"/>
          <w:lang w:val="en-US" w:eastAsia="zh-CN"/>
        </w:rPr>
        <w:t>三明</w:t>
      </w:r>
      <w:r>
        <w:rPr>
          <w:rFonts w:hint="default" w:ascii="仿宋_GB2312" w:hAnsi="仿宋_GB2312" w:eastAsia="仿宋_GB2312" w:cs="仿宋_GB2312"/>
          <w:sz w:val="32"/>
          <w:szCs w:val="32"/>
          <w:lang w:val="en-US" w:eastAsia="zh-CN"/>
        </w:rPr>
        <w:t>市商务局（同时报送纸质和电子版材料）。</w:t>
      </w:r>
      <w:r>
        <w:rPr>
          <w:rFonts w:hint="eastAsia" w:ascii="仿宋_GB2312" w:hAnsi="仿宋_GB2312" w:eastAsia="仿宋_GB2312" w:cs="仿宋_GB2312"/>
          <w:sz w:val="32"/>
          <w:szCs w:val="32"/>
          <w:lang w:val="en-US" w:eastAsia="zh-CN"/>
        </w:rPr>
        <w:t>三明</w:t>
      </w:r>
      <w:r>
        <w:rPr>
          <w:rFonts w:hint="default" w:ascii="仿宋_GB2312" w:hAnsi="仿宋_GB2312" w:eastAsia="仿宋_GB2312" w:cs="仿宋_GB2312"/>
          <w:sz w:val="32"/>
          <w:szCs w:val="32"/>
          <w:lang w:val="en-US" w:eastAsia="zh-CN"/>
        </w:rPr>
        <w:t>市商务局将对各地推荐的企业进行复核</w:t>
      </w:r>
      <w:r>
        <w:rPr>
          <w:rFonts w:hint="eastAsia" w:ascii="仿宋_GB2312" w:hAnsi="仿宋_GB2312" w:eastAsia="仿宋_GB2312" w:cs="仿宋_GB2312"/>
          <w:sz w:val="32"/>
          <w:szCs w:val="32"/>
          <w:lang w:val="en-US" w:eastAsia="zh-CN"/>
        </w:rPr>
        <w:t>，并对复核</w:t>
      </w:r>
      <w:r>
        <w:rPr>
          <w:rFonts w:hint="default" w:ascii="仿宋_GB2312" w:hAnsi="仿宋_GB2312" w:eastAsia="仿宋_GB2312" w:cs="仿宋_GB2312"/>
          <w:sz w:val="32"/>
          <w:szCs w:val="32"/>
          <w:lang w:val="en-US" w:eastAsia="zh-CN"/>
        </w:rPr>
        <w:t>通过的企业名单进行公示，公示期内无异议的，列入全市2024年家电以旧换新</w:t>
      </w:r>
      <w:r>
        <w:rPr>
          <w:rFonts w:hint="eastAsia" w:ascii="仿宋_GB2312" w:hAnsi="仿宋_GB2312" w:eastAsia="仿宋_GB2312" w:cs="仿宋_GB2312"/>
          <w:sz w:val="32"/>
          <w:szCs w:val="32"/>
          <w:lang w:val="en-US" w:eastAsia="zh-CN"/>
        </w:rPr>
        <w:t>、家装厨卫“焕新”</w:t>
      </w:r>
      <w:r>
        <w:rPr>
          <w:rFonts w:hint="default" w:ascii="仿宋_GB2312" w:hAnsi="仿宋_GB2312" w:eastAsia="仿宋_GB2312" w:cs="仿宋_GB2312"/>
          <w:sz w:val="32"/>
          <w:szCs w:val="32"/>
          <w:lang w:val="en-US" w:eastAsia="zh-CN"/>
        </w:rPr>
        <w:t>活动参与企业名单。</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附件：1.三明市家电以旧换新/家装厨卫“焕新”活动参与企业申请表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2.诚信承诺书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3.参与活动企业门店目录表</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家电以旧换新咨询方式：</w:t>
      </w:r>
      <w:r>
        <w:rPr>
          <w:rFonts w:hint="eastAsia" w:ascii="仿宋_GB2312" w:hAnsi="仿宋_GB2312" w:eastAsia="仿宋_GB2312" w:cs="仿宋_GB2312"/>
          <w:sz w:val="32"/>
          <w:szCs w:val="32"/>
          <w:lang w:val="en-US" w:eastAsia="zh-CN"/>
        </w:rPr>
        <w:t>三明市商务局商贸流通与建设科 0598-8271028</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家装厨卫“焕新”咨询方式：</w:t>
      </w:r>
      <w:r>
        <w:rPr>
          <w:rFonts w:hint="eastAsia" w:ascii="仿宋_GB2312" w:hAnsi="仿宋_GB2312" w:eastAsia="仿宋_GB2312" w:cs="仿宋_GB2312"/>
          <w:sz w:val="32"/>
          <w:szCs w:val="32"/>
          <w:lang w:val="en-US" w:eastAsia="zh-CN"/>
        </w:rPr>
        <w:t>三明市商务局市场运行和电商科 0598-8267679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三明市商务局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2024年7月17日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278"/>
        </w:tabs>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b/>
      </w:r>
    </w:p>
    <w:p>
      <w:pPr>
        <w:bidi w:val="0"/>
        <w:ind w:left="0" w:leftChars="0" w:firstLine="0" w:firstLineChars="0"/>
        <w:rPr>
          <w:rFonts w:hint="eastAsia"/>
          <w:lang w:val="en-US" w:eastAsia="zh-CN"/>
        </w:rPr>
      </w:pPr>
      <w:r>
        <w:rPr>
          <w:rFonts w:hint="eastAsia" w:ascii="黑体" w:hAnsi="黑体" w:eastAsia="黑体" w:cs="黑体"/>
          <w:sz w:val="32"/>
          <w:szCs w:val="32"/>
          <w:lang w:val="en-US" w:eastAsia="zh-CN"/>
        </w:rPr>
        <w:br w:type="page"/>
      </w: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三明市家电以旧换新/家装厨卫“焕新”活动参与企业申请表</w:t>
      </w:r>
    </w:p>
    <w:p>
      <w:pPr>
        <w:rPr>
          <w:rFonts w:hint="eastAsia"/>
          <w:lang w:val="en-US"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2572"/>
        <w:gridCol w:w="2125"/>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企业名称</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统一社会信用代码</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企业经营地址</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企业</w:t>
            </w:r>
            <w:r>
              <w:rPr>
                <w:rFonts w:hint="eastAsia" w:ascii="宋体" w:hAnsi="宋体" w:cs="宋体"/>
                <w:b w:val="0"/>
                <w:bCs w:val="0"/>
                <w:sz w:val="24"/>
                <w:szCs w:val="24"/>
                <w:vertAlign w:val="baseline"/>
                <w:lang w:val="en-US" w:eastAsia="zh-CN"/>
              </w:rPr>
              <w:t>简介</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（包含但不限于在售品牌、销售网点辐射区域、仓储及配送能力、拆旧装新一站式服务能力、财务制度、企业促销让利活动、线上销售渠道等）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2023年</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销售额（万元）</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2024年1-6月销售</w:t>
            </w:r>
            <w:r>
              <w:rPr>
                <w:rFonts w:hint="eastAsia" w:ascii="宋体" w:hAnsi="宋体" w:eastAsia="宋体" w:cs="宋体"/>
                <w:b w:val="0"/>
                <w:bCs w:val="0"/>
                <w:sz w:val="24"/>
                <w:szCs w:val="24"/>
                <w:vertAlign w:val="baseline"/>
                <w:lang w:val="en-US" w:eastAsia="zh-CN"/>
              </w:rPr>
              <w:t>额（万元）</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法定代表人</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联系电话</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联系人姓名</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联系电话</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企业承诺</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w:t>
            </w:r>
            <w:r>
              <w:rPr>
                <w:rFonts w:hint="eastAsia" w:ascii="宋体" w:hAnsi="宋体" w:cs="宋体"/>
                <w:b w:val="0"/>
                <w:bCs w:val="0"/>
                <w:sz w:val="24"/>
                <w:szCs w:val="24"/>
                <w:lang w:val="en-US" w:eastAsia="zh-CN"/>
              </w:rPr>
              <w:t>司</w:t>
            </w:r>
            <w:r>
              <w:rPr>
                <w:rFonts w:hint="eastAsia" w:ascii="宋体" w:hAnsi="宋体" w:eastAsia="宋体" w:cs="宋体"/>
                <w:b w:val="0"/>
                <w:bCs w:val="0"/>
                <w:sz w:val="24"/>
                <w:szCs w:val="24"/>
                <w:lang w:val="en-US" w:eastAsia="zh-CN"/>
              </w:rPr>
              <w:t>将按照三明市家电以旧换新/家装厨卫“焕新”活动有关要求，保证提供的所有申报数据、材料等信息真实有效，并愿意接受有关部门的监督。</w:t>
            </w:r>
          </w:p>
          <w:p>
            <w:pPr>
              <w:pStyle w:val="7"/>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法定代表人（授权人）签字：      </w:t>
            </w:r>
          </w:p>
          <w:p>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（企业公章）         </w:t>
            </w:r>
          </w:p>
          <w:p>
            <w:pPr>
              <w:pStyle w:val="7"/>
              <w:keepNext w:val="0"/>
              <w:keepLines w:val="0"/>
              <w:pageBreakBefore w:val="0"/>
              <w:kinsoku/>
              <w:wordWrap w:val="0"/>
              <w:overflowPunct/>
              <w:topLinePunct w:val="0"/>
              <w:autoSpaceDE/>
              <w:autoSpaceDN/>
              <w:bidi w:val="0"/>
              <w:adjustRightInd/>
              <w:snapToGrid/>
              <w:spacing w:line="400" w:lineRule="exact"/>
              <w:jc w:val="righ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vertAlign w:val="baseline"/>
                <w:lang w:val="en-US" w:eastAsia="zh-CN"/>
              </w:rPr>
              <w:t xml:space="preserve">2024年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i w:val="0"/>
                <w:iCs w:val="0"/>
                <w:caps w:val="0"/>
                <w:spacing w:val="0"/>
                <w:kern w:val="0"/>
                <w:sz w:val="24"/>
                <w:szCs w:val="24"/>
                <w:shd w:val="clear" w:color="auto" w:fill="FFFFFF"/>
                <w:lang w:val="en-US" w:eastAsia="zh-CN" w:bidi="ar"/>
              </w:rPr>
            </w:pPr>
            <w:r>
              <w:rPr>
                <w:rFonts w:hint="eastAsia" w:ascii="宋体" w:hAnsi="宋体" w:eastAsia="宋体" w:cs="宋体"/>
                <w:b w:val="0"/>
                <w:bCs w:val="0"/>
                <w:i w:val="0"/>
                <w:iCs w:val="0"/>
                <w:caps w:val="0"/>
                <w:spacing w:val="0"/>
                <w:kern w:val="0"/>
                <w:sz w:val="24"/>
                <w:szCs w:val="24"/>
                <w:shd w:val="clear" w:color="auto" w:fill="FFFFFF"/>
                <w:lang w:val="en-US" w:eastAsia="zh-CN" w:bidi="ar"/>
              </w:rPr>
              <w:t xml:space="preserve">属地商务主管部门初审意见   </w:t>
            </w:r>
          </w:p>
          <w:p>
            <w:pPr>
              <w:keepNext w:val="0"/>
              <w:keepLines w:val="0"/>
              <w:pageBreakBefore w:val="0"/>
              <w:widowControl/>
              <w:suppressLineNumbers w:val="0"/>
              <w:kinsoku/>
              <w:overflowPunct/>
              <w:topLinePunct w:val="0"/>
              <w:autoSpaceDE/>
              <w:autoSpaceDN/>
              <w:bidi w:val="0"/>
              <w:adjustRightInd/>
              <w:snapToGrid/>
              <w:spacing w:line="400" w:lineRule="exact"/>
              <w:ind w:firstLine="240" w:firstLineChars="100"/>
              <w:jc w:val="both"/>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spacing w:val="0"/>
                <w:kern w:val="0"/>
                <w:sz w:val="24"/>
                <w:szCs w:val="24"/>
                <w:shd w:val="clear" w:color="auto" w:fill="FFFFFF"/>
                <w:lang w:val="en-US" w:eastAsia="zh-CN" w:bidi="ar"/>
              </w:rPr>
              <w:t>（盖章）</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val="0"/>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sz w:val="24"/>
                <w:szCs w:val="24"/>
                <w:vertAlign w:val="baseline"/>
                <w:lang w:val="en-US" w:eastAsia="zh-CN"/>
              </w:rPr>
            </w:pPr>
          </w:p>
        </w:tc>
      </w:tr>
    </w:tbl>
    <w:p>
      <w:pPr>
        <w:rPr>
          <w:rFonts w:hint="default"/>
          <w:color w:val="000000"/>
          <w:lang w:val="en-US" w:eastAsia="zh-CN"/>
        </w:rPr>
      </w:pPr>
      <w:r>
        <w:rPr>
          <w:b w:val="0"/>
          <w:bCs w:val="0"/>
        </w:rPr>
        <w:br w:type="page"/>
      </w:r>
      <w:r>
        <w:rPr>
          <w:rFonts w:hint="eastAsia" w:ascii="方正黑体_GBK" w:hAnsi="方正黑体_GBK" w:eastAsia="方正黑体_GBK" w:cs="方正黑体_GBK"/>
          <w:color w:val="000000"/>
          <w:sz w:val="32"/>
          <w:szCs w:val="32"/>
          <w:lang w:eastAsia="zh-CN"/>
        </w:rPr>
        <w:t>附件</w:t>
      </w:r>
      <w:r>
        <w:rPr>
          <w:rFonts w:hint="eastAsia" w:ascii="方正黑体_GBK" w:hAnsi="方正黑体_GBK" w:eastAsia="方正黑体_GBK" w:cs="方正黑体_GBK"/>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诚信承诺书</w:t>
      </w:r>
    </w:p>
    <w:p>
      <w:pPr>
        <w:pStyle w:val="7"/>
        <w:ind w:left="0" w:leftChars="0" w:firstLine="0" w:firstLineChars="0"/>
        <w:rPr>
          <w:rFonts w:hint="eastAsia" w:ascii="仿宋_GB2312" w:hAnsi="仿宋_GB2312" w:eastAsia="仿宋_GB2312" w:cs="仿宋_GB2312"/>
          <w:color w:val="000000"/>
          <w:sz w:val="32"/>
          <w:szCs w:val="32"/>
          <w:lang w:val="en-US" w:eastAsia="zh-CN"/>
        </w:rPr>
      </w:pPr>
    </w:p>
    <w:p>
      <w:pPr>
        <w:pStyle w:val="7"/>
        <w:keepNext w:val="0"/>
        <w:keepLines w:val="0"/>
        <w:pageBreakBefore w:val="0"/>
        <w:kinsoku/>
        <w:wordWrap/>
        <w:overflowPunct/>
        <w:topLinePunct w:val="0"/>
        <w:autoSpaceDE/>
        <w:autoSpaceDN/>
        <w:bidi w:val="0"/>
        <w:adjustRightInd/>
        <w:snapToGrid/>
        <w:spacing w:line="540" w:lineRule="exact"/>
        <w:ind w:left="0" w:leftChars="0" w:firstLine="0" w:firstLineChars="0"/>
        <w:jc w:val="both"/>
        <w:textAlignment w:val="auto"/>
        <w:rPr>
          <w:rFonts w:hint="eastAsia"/>
          <w:lang w:eastAsia="zh-CN"/>
        </w:rPr>
      </w:pPr>
      <w:r>
        <w:rPr>
          <w:rFonts w:hint="eastAsia" w:ascii="仿宋_GB2312" w:hAnsi="仿宋_GB2312" w:eastAsia="仿宋_GB2312" w:cs="仿宋_GB2312"/>
          <w:color w:val="000000"/>
          <w:sz w:val="32"/>
          <w:szCs w:val="32"/>
          <w:lang w:val="en-US" w:eastAsia="zh-CN"/>
        </w:rPr>
        <w:t>三明市商务局</w:t>
      </w:r>
      <w:r>
        <w:rPr>
          <w:rFonts w:hint="eastAsia" w:ascii="仿宋_GB2312" w:hAnsi="仿宋_GB2312" w:eastAsia="仿宋_GB2312" w:cs="仿宋_GB2312"/>
          <w:color w:val="000000"/>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宋体" w:eastAsia="仿宋_GB2312" w:cs="仿宋_GB2312"/>
          <w:i w:val="0"/>
          <w:iCs w:val="0"/>
          <w:caps w:val="0"/>
          <w:color w:val="333333"/>
          <w:spacing w:val="0"/>
          <w:sz w:val="31"/>
          <w:szCs w:val="31"/>
          <w:shd w:val="clear" w:color="auto" w:fill="FFFFFF"/>
        </w:rPr>
      </w:pPr>
      <w:r>
        <w:rPr>
          <w:rFonts w:ascii="仿宋_GB2312" w:hAnsi="宋体" w:eastAsia="仿宋_GB2312" w:cs="仿宋_GB2312"/>
          <w:i w:val="0"/>
          <w:iCs w:val="0"/>
          <w:caps w:val="0"/>
          <w:color w:val="333333"/>
          <w:spacing w:val="0"/>
          <w:sz w:val="31"/>
          <w:szCs w:val="31"/>
          <w:shd w:val="clear" w:color="auto" w:fill="FFFFFF"/>
        </w:rPr>
        <w:t>我单位就参加</w:t>
      </w:r>
      <w:r>
        <w:rPr>
          <w:rFonts w:hint="eastAsia" w:ascii="仿宋_GB2312" w:hAnsi="宋体" w:eastAsia="仿宋_GB2312" w:cs="仿宋_GB2312"/>
          <w:i w:val="0"/>
          <w:iCs w:val="0"/>
          <w:caps w:val="0"/>
          <w:color w:val="333333"/>
          <w:spacing w:val="0"/>
          <w:sz w:val="31"/>
          <w:szCs w:val="31"/>
          <w:shd w:val="clear" w:color="auto" w:fill="FFFFFF"/>
        </w:rPr>
        <w:t>2024年三明市家电以旧换新/家装厨卫“焕新”活动，郑重承诺：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宋体" w:hAnsi="宋体" w:eastAsia="宋体" w:cs="宋体"/>
          <w:i w:val="0"/>
          <w:iCs w:val="0"/>
          <w:caps w:val="0"/>
          <w:color w:val="333333"/>
          <w:spacing w:val="0"/>
          <w:sz w:val="27"/>
          <w:szCs w:val="27"/>
        </w:rPr>
      </w:pPr>
      <w:r>
        <w:rPr>
          <w:rFonts w:hint="eastAsia" w:ascii="仿宋_GB2312" w:hAnsi="宋体" w:eastAsia="仿宋_GB2312" w:cs="仿宋_GB2312"/>
          <w:i w:val="0"/>
          <w:iCs w:val="0"/>
          <w:caps w:val="0"/>
          <w:color w:val="333333"/>
          <w:spacing w:val="0"/>
          <w:sz w:val="31"/>
          <w:szCs w:val="31"/>
          <w:shd w:val="clear" w:color="auto" w:fill="FFFFFF"/>
        </w:rPr>
        <w:t>一、提供的材料真实、准确，如因提供的材料虚假导致的一切后果，由企业自行承担。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宋体" w:hAnsi="宋体" w:eastAsia="宋体" w:cs="宋体"/>
          <w:i w:val="0"/>
          <w:iCs w:val="0"/>
          <w:caps w:val="0"/>
          <w:color w:val="333333"/>
          <w:spacing w:val="0"/>
          <w:sz w:val="27"/>
          <w:szCs w:val="27"/>
        </w:rPr>
      </w:pPr>
      <w:r>
        <w:rPr>
          <w:rFonts w:hint="eastAsia" w:ascii="仿宋_GB2312" w:hAnsi="宋体" w:eastAsia="仿宋_GB2312" w:cs="仿宋_GB2312"/>
          <w:i w:val="0"/>
          <w:iCs w:val="0"/>
          <w:caps w:val="0"/>
          <w:color w:val="333333"/>
          <w:spacing w:val="0"/>
          <w:sz w:val="31"/>
          <w:szCs w:val="31"/>
          <w:shd w:val="clear" w:color="auto" w:fill="FFFFFF"/>
        </w:rPr>
        <w:t>二、严格遵守活动要求，对自有或合作的网点店铺，涉及的家电</w:t>
      </w:r>
      <w:r>
        <w:rPr>
          <w:rFonts w:hint="eastAsia" w:ascii="仿宋_GB2312" w:hAnsi="宋体" w:eastAsia="仿宋_GB2312" w:cs="仿宋_GB2312"/>
          <w:i w:val="0"/>
          <w:iCs w:val="0"/>
          <w:caps w:val="0"/>
          <w:color w:val="333333"/>
          <w:spacing w:val="0"/>
          <w:sz w:val="31"/>
          <w:szCs w:val="31"/>
          <w:shd w:val="clear" w:color="auto" w:fill="FFFFFF"/>
          <w:lang w:eastAsia="zh-CN"/>
        </w:rPr>
        <w:t>（家装厨卫）</w:t>
      </w:r>
      <w:r>
        <w:rPr>
          <w:rFonts w:hint="eastAsia" w:ascii="仿宋_GB2312" w:hAnsi="宋体" w:eastAsia="仿宋_GB2312" w:cs="仿宋_GB2312"/>
          <w:i w:val="0"/>
          <w:iCs w:val="0"/>
          <w:caps w:val="0"/>
          <w:color w:val="333333"/>
          <w:spacing w:val="0"/>
          <w:sz w:val="31"/>
          <w:szCs w:val="31"/>
          <w:shd w:val="clear" w:color="auto" w:fill="FFFFFF"/>
        </w:rPr>
        <w:t>回收或销售环节的真实性负责，如有违法违规行为，负责追回或赔付补贴资金并承担法律责任。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宋体" w:hAnsi="宋体" w:eastAsia="宋体" w:cs="宋体"/>
          <w:i w:val="0"/>
          <w:iCs w:val="0"/>
          <w:caps w:val="0"/>
          <w:color w:val="333333"/>
          <w:spacing w:val="0"/>
          <w:sz w:val="27"/>
          <w:szCs w:val="27"/>
        </w:rPr>
      </w:pPr>
      <w:r>
        <w:rPr>
          <w:rFonts w:hint="eastAsia" w:ascii="仿宋_GB2312" w:hAnsi="宋体" w:eastAsia="仿宋_GB2312" w:cs="仿宋_GB2312"/>
          <w:i w:val="0"/>
          <w:iCs w:val="0"/>
          <w:caps w:val="0"/>
          <w:color w:val="333333"/>
          <w:spacing w:val="0"/>
          <w:sz w:val="31"/>
          <w:szCs w:val="31"/>
          <w:shd w:val="clear" w:color="auto" w:fill="FFFFFF"/>
        </w:rPr>
        <w:t>三、积极配合各级商务主管部门、中国银联</w:t>
      </w:r>
      <w:r>
        <w:rPr>
          <w:rFonts w:hint="eastAsia" w:ascii="仿宋_GB2312" w:hAnsi="宋体" w:eastAsia="仿宋_GB2312" w:cs="仿宋_GB2312"/>
          <w:i w:val="0"/>
          <w:iCs w:val="0"/>
          <w:caps w:val="0"/>
          <w:color w:val="333333"/>
          <w:spacing w:val="0"/>
          <w:sz w:val="31"/>
          <w:szCs w:val="31"/>
          <w:shd w:val="clear" w:color="auto" w:fill="FFFFFF"/>
          <w:lang w:eastAsia="zh-CN"/>
        </w:rPr>
        <w:t>福建</w:t>
      </w:r>
      <w:r>
        <w:rPr>
          <w:rFonts w:hint="eastAsia" w:ascii="仿宋_GB2312" w:hAnsi="宋体" w:eastAsia="仿宋_GB2312" w:cs="仿宋_GB2312"/>
          <w:i w:val="0"/>
          <w:iCs w:val="0"/>
          <w:caps w:val="0"/>
          <w:color w:val="333333"/>
          <w:spacing w:val="0"/>
          <w:sz w:val="31"/>
          <w:szCs w:val="31"/>
          <w:shd w:val="clear" w:color="auto" w:fill="FFFFFF"/>
        </w:rPr>
        <w:t>分公司开展2024年三明市家电以旧换新/家装厨卫“焕新”活动相关工作。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宋体" w:hAnsi="宋体" w:eastAsia="宋体" w:cs="宋体"/>
          <w:i w:val="0"/>
          <w:iCs w:val="0"/>
          <w:caps w:val="0"/>
          <w:color w:val="333333"/>
          <w:spacing w:val="0"/>
          <w:sz w:val="27"/>
          <w:szCs w:val="27"/>
        </w:rPr>
      </w:pPr>
      <w:r>
        <w:rPr>
          <w:rFonts w:hint="eastAsia" w:ascii="仿宋_GB2312" w:hAnsi="宋体" w:eastAsia="仿宋_GB2312" w:cs="仿宋_GB2312"/>
          <w:i w:val="0"/>
          <w:iCs w:val="0"/>
          <w:caps w:val="0"/>
          <w:color w:val="333333"/>
          <w:spacing w:val="0"/>
          <w:sz w:val="31"/>
          <w:szCs w:val="31"/>
          <w:shd w:val="clear" w:color="auto" w:fill="FFFFFF"/>
        </w:rPr>
        <w:t>四、活动开始前，不能配合各级商务主管部门、</w:t>
      </w:r>
      <w:r>
        <w:rPr>
          <w:rFonts w:hint="eastAsia" w:ascii="仿宋_GB2312" w:hAnsi="宋体" w:eastAsia="仿宋_GB2312" w:cs="仿宋_GB2312"/>
          <w:i w:val="0"/>
          <w:iCs w:val="0"/>
          <w:caps w:val="0"/>
          <w:color w:val="333333"/>
          <w:spacing w:val="0"/>
          <w:sz w:val="31"/>
          <w:szCs w:val="31"/>
          <w:shd w:val="clear" w:color="auto" w:fill="FFFFFF"/>
        </w:rPr>
        <w:t>中国银联</w:t>
      </w:r>
      <w:r>
        <w:rPr>
          <w:rFonts w:hint="eastAsia" w:ascii="仿宋_GB2312" w:hAnsi="宋体" w:eastAsia="仿宋_GB2312" w:cs="仿宋_GB2312"/>
          <w:i w:val="0"/>
          <w:iCs w:val="0"/>
          <w:caps w:val="0"/>
          <w:color w:val="333333"/>
          <w:spacing w:val="0"/>
          <w:sz w:val="31"/>
          <w:szCs w:val="31"/>
          <w:shd w:val="clear" w:color="auto" w:fill="FFFFFF"/>
          <w:lang w:eastAsia="zh-CN"/>
        </w:rPr>
        <w:t>福建</w:t>
      </w:r>
      <w:r>
        <w:rPr>
          <w:rFonts w:hint="eastAsia" w:ascii="仿宋_GB2312" w:hAnsi="宋体" w:eastAsia="仿宋_GB2312" w:cs="仿宋_GB2312"/>
          <w:i w:val="0"/>
          <w:iCs w:val="0"/>
          <w:caps w:val="0"/>
          <w:color w:val="333333"/>
          <w:spacing w:val="0"/>
          <w:sz w:val="31"/>
          <w:szCs w:val="31"/>
          <w:shd w:val="clear" w:color="auto" w:fill="FFFFFF"/>
        </w:rPr>
        <w:t>分公司</w:t>
      </w:r>
      <w:r>
        <w:rPr>
          <w:rFonts w:hint="eastAsia" w:ascii="仿宋_GB2312" w:hAnsi="宋体" w:eastAsia="仿宋_GB2312" w:cs="仿宋_GB2312"/>
          <w:i w:val="0"/>
          <w:iCs w:val="0"/>
          <w:caps w:val="0"/>
          <w:color w:val="333333"/>
          <w:spacing w:val="0"/>
          <w:sz w:val="31"/>
          <w:szCs w:val="31"/>
          <w:shd w:val="clear" w:color="auto" w:fill="FFFFFF"/>
        </w:rPr>
        <w:t>完成相关准备工作的，视为自愿放弃参与资格。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宋体" w:hAnsi="宋体" w:eastAsia="宋体" w:cs="宋体"/>
          <w:i w:val="0"/>
          <w:iCs w:val="0"/>
          <w:caps w:val="0"/>
          <w:color w:val="333333"/>
          <w:spacing w:val="0"/>
          <w:sz w:val="27"/>
          <w:szCs w:val="27"/>
        </w:rPr>
      </w:pPr>
      <w:r>
        <w:rPr>
          <w:rFonts w:hint="eastAsia" w:ascii="仿宋_GB2312" w:hAnsi="宋体" w:eastAsia="仿宋_GB2312" w:cs="仿宋_GB2312"/>
          <w:i w:val="0"/>
          <w:iCs w:val="0"/>
          <w:caps w:val="0"/>
          <w:color w:val="333333"/>
          <w:spacing w:val="0"/>
          <w:sz w:val="31"/>
          <w:szCs w:val="31"/>
          <w:shd w:val="clear" w:color="auto" w:fill="FFFFFF"/>
        </w:rPr>
        <w:t>五、自愿接受相关部门、媒体监督。</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CESI仿宋-GB2312" w:hAnsi="CESI仿宋-GB2312" w:eastAsia="CESI仿宋-GB2312" w:cs="CESI仿宋-GB2312"/>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承诺</w:t>
      </w:r>
      <w:r>
        <w:rPr>
          <w:rFonts w:hint="eastAsia" w:ascii="CESI仿宋-GB2312" w:hAnsi="CESI仿宋-GB2312" w:eastAsia="CESI仿宋-GB2312" w:cs="CESI仿宋-GB2312"/>
          <w:sz w:val="32"/>
          <w:szCs w:val="32"/>
          <w:lang w:eastAsia="zh-CN"/>
        </w:rPr>
        <w:t>企业</w:t>
      </w:r>
      <w:r>
        <w:rPr>
          <w:rFonts w:hint="eastAsia" w:ascii="CESI仿宋-GB2312" w:hAnsi="CESI仿宋-GB2312" w:eastAsia="CESI仿宋-GB2312" w:cs="CESI仿宋-GB2312"/>
          <w:sz w:val="32"/>
          <w:szCs w:val="32"/>
        </w:rPr>
        <w:t>：（公章）</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法定代表人签字：</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企业活动联系人：</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企业活动联系电话：</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lang w:val="en-US" w:eastAsia="zh-CN"/>
        </w:rPr>
      </w:pPr>
      <w:r>
        <w:rPr>
          <w:rFonts w:hint="eastAsia" w:ascii="CESI仿宋-GB2312" w:hAnsi="CESI仿宋-GB2312" w:eastAsia="CESI仿宋-GB2312" w:cs="CESI仿宋-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40" w:lineRule="exact"/>
        <w:ind w:firstLine="5440" w:firstLineChars="17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年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日</w:t>
      </w:r>
    </w:p>
    <w:p>
      <w:pPr>
        <w:pStyle w:val="7"/>
        <w:rPr>
          <w:rFonts w:hint="eastAsia"/>
          <w:lang w:val="en-US" w:eastAsia="zh-CN"/>
        </w:rPr>
      </w:pPr>
    </w:p>
    <w:p>
      <w:pPr>
        <w:wordWrap w:val="0"/>
        <w:bidi w:val="0"/>
        <w:spacing w:line="560" w:lineRule="exact"/>
        <w:ind w:left="0" w:leftChars="0" w:firstLine="0" w:firstLineChars="0"/>
        <w:jc w:val="both"/>
        <w:rPr>
          <w:rFonts w:hint="eastAsia" w:ascii="黑体" w:hAnsi="黑体" w:eastAsia="黑体" w:cs="黑体"/>
          <w:sz w:val="32"/>
          <w:lang w:val="en-US" w:eastAsia="zh-CN"/>
        </w:rPr>
        <w:sectPr>
          <w:pgSz w:w="11906" w:h="16838"/>
          <w:pgMar w:top="1440" w:right="1800" w:bottom="1440" w:left="1800" w:header="851" w:footer="992" w:gutter="0"/>
          <w:cols w:space="720" w:num="1"/>
          <w:docGrid w:type="lines" w:linePitch="312" w:charSpace="0"/>
        </w:sectPr>
      </w:pPr>
    </w:p>
    <w:p>
      <w:pPr>
        <w:wordWrap w:val="0"/>
        <w:bidi w:val="0"/>
        <w:spacing w:line="560" w:lineRule="exact"/>
        <w:ind w:left="0" w:leftChars="0" w:firstLine="0" w:firstLineChars="0"/>
        <w:jc w:val="both"/>
        <w:rPr>
          <w:rFonts w:hint="default" w:ascii="黑体" w:hAnsi="黑体" w:eastAsia="黑体" w:cs="黑体"/>
          <w:sz w:val="32"/>
          <w:lang w:val="en-US" w:eastAsia="zh-CN"/>
        </w:rPr>
      </w:pPr>
      <w:r>
        <w:rPr>
          <w:rFonts w:hint="eastAsia" w:ascii="黑体" w:hAnsi="黑体" w:eastAsia="黑体" w:cs="黑体"/>
          <w:sz w:val="32"/>
          <w:lang w:val="en-US" w:eastAsia="zh-CN"/>
        </w:rPr>
        <w:t>附件3</w:t>
      </w:r>
    </w:p>
    <w:tbl>
      <w:tblPr>
        <w:tblStyle w:val="8"/>
        <w:tblW w:w="13478" w:type="dxa"/>
        <w:jc w:val="center"/>
        <w:tblLayout w:type="fixed"/>
        <w:tblCellMar>
          <w:top w:w="0" w:type="dxa"/>
          <w:left w:w="0" w:type="dxa"/>
          <w:bottom w:w="0" w:type="dxa"/>
          <w:right w:w="0" w:type="dxa"/>
        </w:tblCellMar>
      </w:tblPr>
      <w:tblGrid>
        <w:gridCol w:w="523"/>
        <w:gridCol w:w="1924"/>
        <w:gridCol w:w="2594"/>
        <w:gridCol w:w="3307"/>
        <w:gridCol w:w="2020"/>
        <w:gridCol w:w="1555"/>
        <w:gridCol w:w="1338"/>
        <w:gridCol w:w="217"/>
      </w:tblGrid>
      <w:tr>
        <w:tblPrEx>
          <w:tblCellMar>
            <w:top w:w="0" w:type="dxa"/>
            <w:left w:w="0" w:type="dxa"/>
            <w:bottom w:w="0" w:type="dxa"/>
            <w:right w:w="0" w:type="dxa"/>
          </w:tblCellMar>
        </w:tblPrEx>
        <w:trPr>
          <w:gridAfter w:val="1"/>
          <w:wAfter w:w="217" w:type="dxa"/>
          <w:trHeight w:val="1557" w:hRule="atLeast"/>
          <w:jc w:val="center"/>
        </w:trPr>
        <w:tc>
          <w:tcPr>
            <w:tcW w:w="13261" w:type="dxa"/>
            <w:gridSpan w:val="7"/>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参与活动企业门店目录表</w:t>
            </w:r>
          </w:p>
          <w:p>
            <w:pPr>
              <w:widowControl/>
              <w:textAlignment w:val="center"/>
              <w:rPr>
                <w:rFonts w:ascii="Times New Roman" w:hAnsi="Times New Roman" w:cs="宋体"/>
                <w:kern w:val="0"/>
                <w:sz w:val="28"/>
                <w:szCs w:val="28"/>
              </w:rPr>
            </w:pPr>
            <w:r>
              <w:rPr>
                <w:rFonts w:hint="default" w:ascii="Times New Roman" w:hAnsi="Times New Roman" w:eastAsia="方正仿宋_GBK" w:cs="Times New Roman"/>
                <w:kern w:val="0"/>
                <w:sz w:val="28"/>
                <w:szCs w:val="28"/>
              </w:rPr>
              <w:t xml:space="preserve">填报单位：                     </w:t>
            </w:r>
            <w:r>
              <w:rPr>
                <w:rFonts w:hint="default" w:ascii="Times New Roman" w:hAnsi="Times New Roman" w:eastAsia="方正仿宋_GBK" w:cs="Times New Roman"/>
                <w:kern w:val="0"/>
                <w:sz w:val="28"/>
                <w:szCs w:val="28"/>
                <w:lang w:val="en-US" w:eastAsia="zh-CN"/>
              </w:rPr>
              <w:t xml:space="preserve">    </w:t>
            </w:r>
            <w:r>
              <w:rPr>
                <w:rFonts w:hint="default" w:ascii="Times New Roman" w:hAnsi="Times New Roman" w:eastAsia="方正仿宋_GBK" w:cs="Times New Roman"/>
                <w:kern w:val="0"/>
                <w:sz w:val="28"/>
                <w:szCs w:val="28"/>
              </w:rPr>
              <w:t>填报人：                         填报时间：2024年</w:t>
            </w:r>
            <w:r>
              <w:rPr>
                <w:rFonts w:hint="eastAsia" w:ascii="Times New Roman" w:hAnsi="Times New Roman" w:eastAsia="方正仿宋_GBK" w:cs="Times New Roman"/>
                <w:kern w:val="0"/>
                <w:sz w:val="28"/>
                <w:szCs w:val="28"/>
                <w:lang w:val="en-US" w:eastAsia="zh-CN"/>
              </w:rPr>
              <w:t xml:space="preserve"> </w:t>
            </w:r>
            <w:r>
              <w:rPr>
                <w:rFonts w:hint="default" w:ascii="Times New Roman" w:hAnsi="Times New Roman" w:eastAsia="方正仿宋_GBK" w:cs="Times New Roman"/>
                <w:kern w:val="0"/>
                <w:sz w:val="28"/>
                <w:szCs w:val="28"/>
              </w:rPr>
              <w:t>月  日</w:t>
            </w:r>
          </w:p>
        </w:tc>
      </w:tr>
      <w:tr>
        <w:tblPrEx>
          <w:tblCellMar>
            <w:top w:w="0" w:type="dxa"/>
            <w:left w:w="0" w:type="dxa"/>
            <w:bottom w:w="0" w:type="dxa"/>
            <w:right w:w="0" w:type="dxa"/>
          </w:tblCellMar>
        </w:tblPrEx>
        <w:trPr>
          <w:trHeight w:val="1258" w:hRule="atLeast"/>
          <w:jc w:val="center"/>
        </w:trPr>
        <w:tc>
          <w:tcPr>
            <w:tcW w:w="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序号</w:t>
            </w:r>
          </w:p>
        </w:tc>
        <w:tc>
          <w:tcPr>
            <w:tcW w:w="1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方正仿宋_GBK" w:cs="Times New Roman"/>
                <w:kern w:val="0"/>
                <w:sz w:val="28"/>
                <w:szCs w:val="28"/>
                <w:lang w:eastAsia="zh-CN"/>
              </w:rPr>
            </w:pPr>
            <w:r>
              <w:rPr>
                <w:rFonts w:hint="default" w:ascii="Times New Roman" w:hAnsi="Times New Roman" w:eastAsia="方正仿宋_GBK" w:cs="Times New Roman"/>
                <w:kern w:val="0"/>
                <w:sz w:val="28"/>
                <w:szCs w:val="28"/>
                <w:lang w:eastAsia="zh-CN"/>
              </w:rPr>
              <w:t>企业</w:t>
            </w:r>
            <w:r>
              <w:rPr>
                <w:rFonts w:hint="eastAsia" w:ascii="Times New Roman" w:hAnsi="Times New Roman" w:eastAsia="方正仿宋_GBK" w:cs="Times New Roman"/>
                <w:kern w:val="0"/>
                <w:sz w:val="28"/>
                <w:szCs w:val="28"/>
                <w:lang w:eastAsia="zh-CN"/>
              </w:rPr>
              <w:t>及门店</w:t>
            </w:r>
          </w:p>
          <w:p>
            <w:pPr>
              <w:widowControl/>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名称</w:t>
            </w:r>
          </w:p>
        </w:tc>
        <w:tc>
          <w:tcPr>
            <w:tcW w:w="2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经营地址</w:t>
            </w:r>
          </w:p>
        </w:tc>
        <w:tc>
          <w:tcPr>
            <w:tcW w:w="3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统一社会</w:t>
            </w:r>
          </w:p>
          <w:p>
            <w:pPr>
              <w:widowControl/>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信用代码</w:t>
            </w:r>
          </w:p>
        </w:tc>
        <w:tc>
          <w:tcPr>
            <w:tcW w:w="2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kern w:val="0"/>
                <w:sz w:val="28"/>
                <w:szCs w:val="28"/>
                <w:lang w:eastAsia="zh-CN"/>
              </w:rPr>
              <w:t>所属</w:t>
            </w:r>
            <w:r>
              <w:rPr>
                <w:rFonts w:hint="eastAsia" w:ascii="Times New Roman" w:hAnsi="Times New Roman" w:eastAsia="方正仿宋_GBK" w:cs="Times New Roman"/>
                <w:kern w:val="0"/>
                <w:sz w:val="28"/>
                <w:szCs w:val="28"/>
                <w:lang w:eastAsia="zh-CN"/>
              </w:rPr>
              <w:t>县（市、区）</w:t>
            </w:r>
          </w:p>
        </w:tc>
        <w:tc>
          <w:tcPr>
            <w:tcW w:w="1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联系人</w:t>
            </w:r>
          </w:p>
        </w:tc>
        <w:tc>
          <w:tcPr>
            <w:tcW w:w="15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联系电话</w:t>
            </w:r>
          </w:p>
        </w:tc>
      </w:tr>
      <w:tr>
        <w:tblPrEx>
          <w:tblCellMar>
            <w:top w:w="0" w:type="dxa"/>
            <w:left w:w="0" w:type="dxa"/>
            <w:bottom w:w="0" w:type="dxa"/>
            <w:right w:w="0" w:type="dxa"/>
          </w:tblCellMar>
        </w:tblPrEx>
        <w:trPr>
          <w:trHeight w:val="642" w:hRule="atLeast"/>
          <w:jc w:val="center"/>
        </w:trPr>
        <w:tc>
          <w:tcPr>
            <w:tcW w:w="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1</w:t>
            </w:r>
          </w:p>
        </w:tc>
        <w:tc>
          <w:tcPr>
            <w:tcW w:w="1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sz w:val="28"/>
                <w:szCs w:val="28"/>
              </w:rPr>
            </w:pPr>
          </w:p>
        </w:tc>
        <w:tc>
          <w:tcPr>
            <w:tcW w:w="2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sz w:val="28"/>
                <w:szCs w:val="28"/>
              </w:rPr>
            </w:pPr>
          </w:p>
        </w:tc>
        <w:tc>
          <w:tcPr>
            <w:tcW w:w="3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sz w:val="28"/>
                <w:szCs w:val="28"/>
              </w:rPr>
            </w:pPr>
          </w:p>
        </w:tc>
        <w:tc>
          <w:tcPr>
            <w:tcW w:w="2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default" w:ascii="Times New Roman" w:hAnsi="Times New Roman" w:eastAsia="方正仿宋_GBK" w:cs="Times New Roman"/>
                <w:sz w:val="28"/>
                <w:szCs w:val="28"/>
              </w:rPr>
            </w:pPr>
          </w:p>
        </w:tc>
        <w:tc>
          <w:tcPr>
            <w:tcW w:w="1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sz w:val="28"/>
                <w:szCs w:val="28"/>
              </w:rPr>
            </w:pPr>
          </w:p>
        </w:tc>
        <w:tc>
          <w:tcPr>
            <w:tcW w:w="15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sz w:val="28"/>
                <w:szCs w:val="28"/>
              </w:rPr>
            </w:pPr>
          </w:p>
        </w:tc>
      </w:tr>
      <w:tr>
        <w:tblPrEx>
          <w:tblCellMar>
            <w:top w:w="0" w:type="dxa"/>
            <w:left w:w="0" w:type="dxa"/>
            <w:bottom w:w="0" w:type="dxa"/>
            <w:right w:w="0" w:type="dxa"/>
          </w:tblCellMar>
        </w:tblPrEx>
        <w:trPr>
          <w:trHeight w:val="642" w:hRule="atLeast"/>
          <w:jc w:val="center"/>
        </w:trPr>
        <w:tc>
          <w:tcPr>
            <w:tcW w:w="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2</w:t>
            </w:r>
          </w:p>
        </w:tc>
        <w:tc>
          <w:tcPr>
            <w:tcW w:w="1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sz w:val="28"/>
                <w:szCs w:val="28"/>
              </w:rPr>
            </w:pPr>
          </w:p>
        </w:tc>
        <w:tc>
          <w:tcPr>
            <w:tcW w:w="2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sz w:val="28"/>
                <w:szCs w:val="28"/>
              </w:rPr>
            </w:pPr>
          </w:p>
        </w:tc>
        <w:tc>
          <w:tcPr>
            <w:tcW w:w="3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sz w:val="28"/>
                <w:szCs w:val="28"/>
              </w:rPr>
            </w:pPr>
          </w:p>
        </w:tc>
        <w:tc>
          <w:tcPr>
            <w:tcW w:w="2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default" w:ascii="Times New Roman" w:hAnsi="Times New Roman" w:eastAsia="方正仿宋_GBK" w:cs="Times New Roman"/>
                <w:sz w:val="28"/>
                <w:szCs w:val="28"/>
              </w:rPr>
            </w:pPr>
          </w:p>
        </w:tc>
        <w:tc>
          <w:tcPr>
            <w:tcW w:w="1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sz w:val="28"/>
                <w:szCs w:val="28"/>
              </w:rPr>
            </w:pPr>
          </w:p>
        </w:tc>
        <w:tc>
          <w:tcPr>
            <w:tcW w:w="15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sz w:val="28"/>
                <w:szCs w:val="28"/>
              </w:rPr>
            </w:pPr>
          </w:p>
        </w:tc>
      </w:tr>
      <w:tr>
        <w:tblPrEx>
          <w:tblCellMar>
            <w:top w:w="0" w:type="dxa"/>
            <w:left w:w="0" w:type="dxa"/>
            <w:bottom w:w="0" w:type="dxa"/>
            <w:right w:w="0" w:type="dxa"/>
          </w:tblCellMar>
        </w:tblPrEx>
        <w:trPr>
          <w:trHeight w:val="642" w:hRule="atLeast"/>
          <w:jc w:val="center"/>
        </w:trPr>
        <w:tc>
          <w:tcPr>
            <w:tcW w:w="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3</w:t>
            </w:r>
          </w:p>
        </w:tc>
        <w:tc>
          <w:tcPr>
            <w:tcW w:w="1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sz w:val="28"/>
                <w:szCs w:val="28"/>
              </w:rPr>
            </w:pPr>
          </w:p>
        </w:tc>
        <w:tc>
          <w:tcPr>
            <w:tcW w:w="2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sz w:val="28"/>
                <w:szCs w:val="28"/>
              </w:rPr>
            </w:pPr>
          </w:p>
        </w:tc>
        <w:tc>
          <w:tcPr>
            <w:tcW w:w="3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sz w:val="28"/>
                <w:szCs w:val="28"/>
              </w:rPr>
            </w:pPr>
          </w:p>
        </w:tc>
        <w:tc>
          <w:tcPr>
            <w:tcW w:w="2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default" w:ascii="Times New Roman" w:hAnsi="Times New Roman" w:eastAsia="方正仿宋_GBK" w:cs="Times New Roman"/>
                <w:sz w:val="28"/>
                <w:szCs w:val="28"/>
              </w:rPr>
            </w:pPr>
          </w:p>
        </w:tc>
        <w:tc>
          <w:tcPr>
            <w:tcW w:w="1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sz w:val="28"/>
                <w:szCs w:val="28"/>
              </w:rPr>
            </w:pPr>
          </w:p>
        </w:tc>
        <w:tc>
          <w:tcPr>
            <w:tcW w:w="15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sz w:val="28"/>
                <w:szCs w:val="28"/>
              </w:rPr>
            </w:pPr>
          </w:p>
        </w:tc>
      </w:tr>
      <w:tr>
        <w:tblPrEx>
          <w:tblCellMar>
            <w:top w:w="0" w:type="dxa"/>
            <w:left w:w="0" w:type="dxa"/>
            <w:bottom w:w="0" w:type="dxa"/>
            <w:right w:w="0" w:type="dxa"/>
          </w:tblCellMar>
        </w:tblPrEx>
        <w:trPr>
          <w:trHeight w:val="642" w:hRule="atLeast"/>
          <w:jc w:val="center"/>
        </w:trPr>
        <w:tc>
          <w:tcPr>
            <w:tcW w:w="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4</w:t>
            </w:r>
          </w:p>
        </w:tc>
        <w:tc>
          <w:tcPr>
            <w:tcW w:w="1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sz w:val="28"/>
                <w:szCs w:val="28"/>
              </w:rPr>
            </w:pPr>
          </w:p>
        </w:tc>
        <w:tc>
          <w:tcPr>
            <w:tcW w:w="2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sz w:val="28"/>
                <w:szCs w:val="28"/>
              </w:rPr>
            </w:pPr>
          </w:p>
        </w:tc>
        <w:tc>
          <w:tcPr>
            <w:tcW w:w="3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sz w:val="28"/>
                <w:szCs w:val="28"/>
              </w:rPr>
            </w:pPr>
          </w:p>
        </w:tc>
        <w:tc>
          <w:tcPr>
            <w:tcW w:w="2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default" w:ascii="Times New Roman" w:hAnsi="Times New Roman" w:eastAsia="方正仿宋_GBK" w:cs="Times New Roman"/>
                <w:sz w:val="28"/>
                <w:szCs w:val="28"/>
              </w:rPr>
            </w:pPr>
          </w:p>
        </w:tc>
        <w:tc>
          <w:tcPr>
            <w:tcW w:w="1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sz w:val="28"/>
                <w:szCs w:val="28"/>
              </w:rPr>
            </w:pPr>
          </w:p>
        </w:tc>
        <w:tc>
          <w:tcPr>
            <w:tcW w:w="15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sz w:val="28"/>
                <w:szCs w:val="28"/>
              </w:rPr>
            </w:pPr>
          </w:p>
        </w:tc>
      </w:tr>
      <w:tr>
        <w:tblPrEx>
          <w:tblCellMar>
            <w:top w:w="0" w:type="dxa"/>
            <w:left w:w="0" w:type="dxa"/>
            <w:bottom w:w="0" w:type="dxa"/>
            <w:right w:w="0" w:type="dxa"/>
          </w:tblCellMar>
        </w:tblPrEx>
        <w:trPr>
          <w:trHeight w:val="642" w:hRule="atLeast"/>
          <w:jc w:val="center"/>
        </w:trPr>
        <w:tc>
          <w:tcPr>
            <w:tcW w:w="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5</w:t>
            </w:r>
          </w:p>
        </w:tc>
        <w:tc>
          <w:tcPr>
            <w:tcW w:w="1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sz w:val="28"/>
                <w:szCs w:val="28"/>
              </w:rPr>
            </w:pPr>
          </w:p>
        </w:tc>
        <w:tc>
          <w:tcPr>
            <w:tcW w:w="2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sz w:val="28"/>
                <w:szCs w:val="28"/>
              </w:rPr>
            </w:pPr>
          </w:p>
        </w:tc>
        <w:tc>
          <w:tcPr>
            <w:tcW w:w="3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sz w:val="28"/>
                <w:szCs w:val="28"/>
              </w:rPr>
            </w:pPr>
          </w:p>
        </w:tc>
        <w:tc>
          <w:tcPr>
            <w:tcW w:w="2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default" w:ascii="Times New Roman" w:hAnsi="Times New Roman" w:eastAsia="方正仿宋_GBK" w:cs="Times New Roman"/>
                <w:sz w:val="28"/>
                <w:szCs w:val="28"/>
              </w:rPr>
            </w:pPr>
          </w:p>
        </w:tc>
        <w:tc>
          <w:tcPr>
            <w:tcW w:w="1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sz w:val="28"/>
                <w:szCs w:val="28"/>
              </w:rPr>
            </w:pPr>
          </w:p>
        </w:tc>
        <w:tc>
          <w:tcPr>
            <w:tcW w:w="15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sz w:val="28"/>
                <w:szCs w:val="28"/>
              </w:rPr>
            </w:pPr>
          </w:p>
        </w:tc>
      </w:tr>
      <w:tr>
        <w:tblPrEx>
          <w:tblCellMar>
            <w:top w:w="0" w:type="dxa"/>
            <w:left w:w="0" w:type="dxa"/>
            <w:bottom w:w="0" w:type="dxa"/>
            <w:right w:w="0" w:type="dxa"/>
          </w:tblCellMar>
        </w:tblPrEx>
        <w:trPr>
          <w:trHeight w:val="642" w:hRule="atLeast"/>
          <w:jc w:val="center"/>
        </w:trPr>
        <w:tc>
          <w:tcPr>
            <w:tcW w:w="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6</w:t>
            </w:r>
          </w:p>
        </w:tc>
        <w:tc>
          <w:tcPr>
            <w:tcW w:w="1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sz w:val="28"/>
                <w:szCs w:val="28"/>
              </w:rPr>
            </w:pPr>
          </w:p>
        </w:tc>
        <w:tc>
          <w:tcPr>
            <w:tcW w:w="2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sz w:val="28"/>
                <w:szCs w:val="28"/>
              </w:rPr>
            </w:pPr>
          </w:p>
        </w:tc>
        <w:tc>
          <w:tcPr>
            <w:tcW w:w="3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sz w:val="28"/>
                <w:szCs w:val="28"/>
              </w:rPr>
            </w:pPr>
          </w:p>
        </w:tc>
        <w:tc>
          <w:tcPr>
            <w:tcW w:w="2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default" w:ascii="Times New Roman" w:hAnsi="Times New Roman" w:eastAsia="方正仿宋_GBK" w:cs="Times New Roman"/>
                <w:sz w:val="28"/>
                <w:szCs w:val="28"/>
              </w:rPr>
            </w:pPr>
          </w:p>
        </w:tc>
        <w:tc>
          <w:tcPr>
            <w:tcW w:w="1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sz w:val="28"/>
                <w:szCs w:val="28"/>
              </w:rPr>
            </w:pPr>
          </w:p>
        </w:tc>
        <w:tc>
          <w:tcPr>
            <w:tcW w:w="15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sz w:val="28"/>
                <w:szCs w:val="28"/>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p>
    <w:sectPr>
      <w:pgSz w:w="16838" w:h="11906" w:orient="landscape"/>
      <w:pgMar w:top="1803" w:right="1440" w:bottom="1803" w:left="1440" w:header="851" w:footer="992" w:gutter="0"/>
      <w:paperSrc/>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00"/>
    <w:family w:val="auto"/>
    <w:pitch w:val="default"/>
    <w:sig w:usb0="00000000" w:usb1="00000000" w:usb2="00000000"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黑体">
    <w:altName w:val="方正黑体_GBK"/>
    <w:panose1 w:val="02010609060101010101"/>
    <w:charset w:val="00"/>
    <w:family w:val="auto"/>
    <w:pitch w:val="default"/>
    <w:sig w:usb0="800002BF" w:usb1="38CF7CFA" w:usb2="00000016" w:usb3="00000000" w:csb0="00040001" w:csb1="00000000"/>
  </w:font>
  <w:font w:name="CESI仿宋-GB2312">
    <w:altName w:val="方正仿宋_GBK"/>
    <w:panose1 w:val="02000500000000000000"/>
    <w:charset w:val="00"/>
    <w:family w:val="auto"/>
    <w:pitch w:val="default"/>
    <w:sig w:usb0="800002AF" w:usb1="084F6CF8"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6EF369E"/>
    <w:rsid w:val="36EDE66D"/>
    <w:rsid w:val="3F6D7CCF"/>
    <w:rsid w:val="4F9BAB5D"/>
    <w:rsid w:val="52EF36A5"/>
    <w:rsid w:val="5FFB60A8"/>
    <w:rsid w:val="63F6E0D3"/>
    <w:rsid w:val="6F6BD841"/>
    <w:rsid w:val="74075278"/>
    <w:rsid w:val="77FD239E"/>
    <w:rsid w:val="7B2ACA06"/>
    <w:rsid w:val="7DF99177"/>
    <w:rsid w:val="7E759F64"/>
    <w:rsid w:val="7EBFA8D5"/>
    <w:rsid w:val="7EFF0E6E"/>
    <w:rsid w:val="7FF81795"/>
    <w:rsid w:val="AC3F2C06"/>
    <w:rsid w:val="ACEF4A9B"/>
    <w:rsid w:val="B8375ACE"/>
    <w:rsid w:val="DFFE0B33"/>
    <w:rsid w:val="E6EF369E"/>
    <w:rsid w:val="F5FFA055"/>
    <w:rsid w:val="FF9520E7"/>
    <w:rsid w:val="FFF900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Lines="0" w:afterLines="0" w:line="560" w:lineRule="exact"/>
      <w:jc w:val="center"/>
      <w:outlineLvl w:val="0"/>
    </w:pPr>
    <w:rPr>
      <w:rFonts w:ascii="Times New Roman" w:hAnsi="Times New Roman" w:eastAsia="方正小标宋简体" w:cs="Times New Roman"/>
      <w:kern w:val="44"/>
      <w:sz w:val="44"/>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customStyle="1" w:styleId="2">
    <w:name w:val="_Style 1"/>
    <w:basedOn w:val="1"/>
    <w:qFormat/>
    <w:uiPriority w:val="0"/>
    <w:pPr>
      <w:ind w:firstLine="200" w:firstLineChars="200"/>
    </w:pPr>
    <w:rPr>
      <w:rFonts w:ascii="宋体" w:hAnsi="宋体" w:eastAsia="仿宋_GB2312" w:cs="Times New Roman"/>
      <w:sz w:val="32"/>
      <w:szCs w:val="32"/>
    </w:rPr>
  </w:style>
  <w:style w:type="paragraph" w:styleId="4">
    <w:name w:val="Normal Indent"/>
    <w:basedOn w:val="1"/>
    <w:next w:val="1"/>
    <w:qFormat/>
    <w:uiPriority w:val="0"/>
    <w:pPr>
      <w:ind w:firstLine="420"/>
    </w:pPr>
    <w:rPr>
      <w:rFonts w:ascii="Times New Roman" w:hAnsi="Times New Roman" w:eastAsia="宋体" w:cs="Times New Roman"/>
    </w:rPr>
  </w:style>
  <w:style w:type="paragraph" w:styleId="5">
    <w:name w:val="Body Text Indent"/>
    <w:basedOn w:val="1"/>
    <w:next w:val="4"/>
    <w:qFormat/>
    <w:uiPriority w:val="0"/>
    <w:pPr>
      <w:ind w:left="420" w:leftChars="200"/>
    </w:pPr>
    <w:rPr>
      <w:rFonts w:ascii="Calibri" w:hAnsi="Calibri" w:eastAsia="宋体" w:cs="Times New Roman"/>
      <w:sz w:val="32"/>
      <w:szCs w:val="32"/>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paragraph" w:styleId="7">
    <w:name w:val="Body Text First Indent 2"/>
    <w:basedOn w:val="5"/>
    <w:next w:val="1"/>
    <w:qFormat/>
    <w:uiPriority w:val="0"/>
    <w:pPr>
      <w:widowControl/>
      <w:ind w:firstLine="420" w:firstLineChars="200"/>
      <w:jc w:val="left"/>
    </w:pPr>
    <w:rPr>
      <w:rFonts w:ascii="Calibri" w:hAnsi="Calibri" w:eastAsia="宋体" w:cs="Times New Roman"/>
      <w:kern w:val="0"/>
      <w:sz w:val="24"/>
      <w:lang w:eastAsia="en-US" w:bidi="en-US"/>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45.6666666666667</TotalTime>
  <ScaleCrop>false</ScaleCrop>
  <LinksUpToDate>false</LinksUpToDate>
  <CharactersWithSpaces>0</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2024-07-18T01:39:00Z</dcterms:created>
  <dc:creator>Huckleberry</dc:creator>
  <cp:lastModifiedBy>章丽娜</cp:lastModifiedBy>
  <cp:lastPrinted>2024-07-17T23:22:38Z</cp:lastPrinted>
  <dcterms:modified xsi:type="dcterms:W3CDTF">2024-07-17T16:05:22Z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03639B39996C69A6427B97668A3F8EBF</vt:lpwstr>
  </property>
</Properties>
</file>