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color w:val="000000" w:themeColor="text1"/>
          <w:sz w:val="32"/>
          <w:szCs w:val="32"/>
          <w:lang w:val="en-US" w:eastAsia="zh-CN"/>
        </w:rPr>
      </w:pPr>
      <w:bookmarkStart w:id="0" w:name="_GoBack"/>
      <w:r>
        <w:rPr>
          <w:rFonts w:hint="eastAsia" w:ascii="方正黑体_GBK" w:hAnsi="方正黑体_GBK" w:eastAsia="方正黑体_GBK" w:cs="方正黑体_GBK"/>
          <w:color w:val="000000" w:themeColor="text1"/>
          <w:sz w:val="32"/>
          <w:szCs w:val="32"/>
          <w:lang w:eastAsia="zh-CN"/>
        </w:rPr>
        <w:t>附件</w:t>
      </w:r>
      <w:r>
        <w:rPr>
          <w:rFonts w:hint="eastAsia" w:ascii="方正黑体_GBK" w:hAnsi="方正黑体_GBK" w:eastAsia="方正黑体_GBK" w:cs="方正黑体_GBK"/>
          <w:color w:val="000000" w:themeColor="text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000000" w:themeColor="text1"/>
          <w:lang w:eastAsia="zh-CN"/>
        </w:rPr>
      </w:pPr>
      <w:r>
        <w:rPr>
          <w:rFonts w:hint="eastAsia" w:ascii="方正小标宋简体" w:hAnsi="方正小标宋简体" w:eastAsia="方正小标宋简体" w:cs="方正小标宋简体"/>
          <w:color w:val="000000" w:themeColor="text1"/>
          <w:sz w:val="44"/>
          <w:szCs w:val="44"/>
          <w:lang w:eastAsia="zh-CN"/>
        </w:rPr>
        <w:t>企业内设加油站点检查工作指引</w:t>
      </w:r>
    </w:p>
    <w:bookmarkEnd w:id="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000000" w:themeColor="text1"/>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为规范企业内设加油站点营运行为，更加</w:t>
      </w:r>
      <w:r>
        <w:rPr>
          <w:rFonts w:hint="eastAsia" w:ascii="仿宋_GB2312" w:hAnsi="仿宋_GB2312" w:eastAsia="仿宋_GB2312" w:cs="仿宋_GB2312"/>
          <w:color w:val="000000" w:themeColor="text1"/>
          <w:sz w:val="32"/>
          <w:szCs w:val="32"/>
        </w:rPr>
        <w:t>有效</w:t>
      </w:r>
      <w:r>
        <w:rPr>
          <w:rFonts w:hint="eastAsia" w:ascii="仿宋_GB2312" w:hAnsi="仿宋_GB2312" w:eastAsia="仿宋_GB2312" w:cs="仿宋_GB2312"/>
          <w:color w:val="000000" w:themeColor="text1"/>
          <w:sz w:val="32"/>
          <w:szCs w:val="32"/>
          <w:lang w:eastAsia="zh-CN"/>
        </w:rPr>
        <w:t>的</w:t>
      </w:r>
      <w:r>
        <w:rPr>
          <w:rFonts w:hint="eastAsia" w:ascii="仿宋_GB2312" w:hAnsi="仿宋_GB2312" w:eastAsia="仿宋_GB2312" w:cs="仿宋_GB2312"/>
          <w:color w:val="000000" w:themeColor="text1"/>
          <w:sz w:val="32"/>
          <w:szCs w:val="32"/>
        </w:rPr>
        <w:t>开展</w:t>
      </w:r>
      <w:r>
        <w:rPr>
          <w:rFonts w:hint="eastAsia" w:ascii="仿宋_GB2312" w:hAnsi="仿宋_GB2312" w:eastAsia="仿宋_GB2312" w:cs="仿宋_GB2312"/>
          <w:color w:val="000000" w:themeColor="text1"/>
          <w:sz w:val="32"/>
          <w:szCs w:val="32"/>
          <w:lang w:val="en-US" w:eastAsia="zh-CN"/>
        </w:rPr>
        <w:t>企业内设加油站点</w:t>
      </w:r>
      <w:r>
        <w:rPr>
          <w:rFonts w:hint="eastAsia" w:ascii="仿宋_GB2312" w:hAnsi="仿宋_GB2312" w:eastAsia="仿宋_GB2312" w:cs="仿宋_GB2312"/>
          <w:color w:val="000000" w:themeColor="text1"/>
          <w:sz w:val="32"/>
          <w:szCs w:val="32"/>
          <w:lang w:eastAsia="zh-CN"/>
        </w:rPr>
        <w:t>监管</w:t>
      </w:r>
      <w:r>
        <w:rPr>
          <w:rFonts w:hint="eastAsia" w:ascii="仿宋_GB2312" w:hAnsi="仿宋_GB2312" w:eastAsia="仿宋_GB2312" w:cs="仿宋_GB2312"/>
          <w:color w:val="000000" w:themeColor="text1"/>
          <w:sz w:val="32"/>
          <w:szCs w:val="32"/>
        </w:rPr>
        <w:t>工作</w:t>
      </w:r>
      <w:r>
        <w:rPr>
          <w:rFonts w:hint="eastAsia" w:ascii="仿宋_GB2312" w:hAnsi="仿宋_GB2312" w:eastAsia="仿宋_GB2312" w:cs="仿宋_GB2312"/>
          <w:color w:val="000000" w:themeColor="text1"/>
          <w:sz w:val="32"/>
          <w:szCs w:val="32"/>
          <w:lang w:val="en-US" w:eastAsia="zh-CN"/>
        </w:rPr>
        <w:t>，现</w:t>
      </w:r>
      <w:r>
        <w:rPr>
          <w:rFonts w:hint="eastAsia" w:ascii="仿宋_GB2312" w:hAnsi="仿宋_GB2312" w:eastAsia="仿宋_GB2312" w:cs="仿宋_GB2312"/>
          <w:color w:val="000000" w:themeColor="text1"/>
          <w:sz w:val="32"/>
          <w:szCs w:val="32"/>
        </w:rPr>
        <w:t>制定工作指引</w:t>
      </w:r>
      <w:r>
        <w:rPr>
          <w:rFonts w:hint="eastAsia" w:ascii="仿宋_GB2312" w:hAnsi="仿宋_GB2312" w:eastAsia="仿宋_GB2312" w:cs="仿宋_GB2312"/>
          <w:color w:val="000000" w:themeColor="text1"/>
          <w:sz w:val="32"/>
          <w:szCs w:val="32"/>
          <w:lang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一、检查企业内设加油站点是否有营业执照、道路运输经营许可证等资质（主体资格方面：是否具备物流企业、工矿企业等企业主体条件）；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二、检查企业内设加油站点是否有相应的加油罐、加油机、撬装加油等设施设备（主体资格方面：是否有构成加油站点的要件）；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三、检查企业内设加油站点是否为埋地罐，是否有防渗漏措施（环保条件方面：埋地罐是否是双层罐或是防渗池）；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四、检查企业内设加油站点是否取得气象部门核发的雷电防护装置设计审核和竣工验收许可文件（安全条件方面：查看相关材料）；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五、检查企业内设加油站点设置撬装加油装置的是否有生产厂家出具的质量合格证明；是否有专业机构编制出具的安全评价报告（安全条件方面：查看相关材料）；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六、检查企业内设加油站点是否建立安全生产责任制、有健全的安全管理制度和岗位安全操作规程（安全管理方面：相关制度、规程要上墙）；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七、检查企业内设加油站点是否有安全生产事故应急救援和处置预案（安全管理方面：查阅相关材料）；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八、检查企业内设加油站点是否建立消防安全制度、消防安全操作规程（安全管理方面：相关制度、规程要上墙）；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九、检查企业内设加油站点是否设置消防安全标志，灭火器、消防沙池等消防设施，要定期巡检，确保设施完好有效（安全管理方面：查看相关设施设备及材料）；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
        </w:rPr>
      </w:pPr>
      <w:r>
        <w:rPr>
          <w:rFonts w:hint="eastAsia" w:ascii="仿宋_GB2312" w:hAnsi="仿宋_GB2312" w:eastAsia="仿宋_GB2312" w:cs="仿宋_GB2312"/>
          <w:color w:val="000000" w:themeColor="text1"/>
          <w:sz w:val="32"/>
          <w:szCs w:val="32"/>
          <w:lang w:val="en-US" w:eastAsia="zh-CN"/>
        </w:rPr>
        <w:t>十、检查企业内设加油站点是否建立完整的油品进出管理台账（质量管控方面：1</w:t>
      </w:r>
      <w:r>
        <w:rPr>
          <w:rFonts w:hint="eastAsia" w:ascii="仿宋_GB2312" w:hAnsi="仿宋_GB2312" w:eastAsia="仿宋_GB2312" w:cs="仿宋_GB2312"/>
          <w:color w:val="000000" w:themeColor="text1"/>
          <w:sz w:val="32"/>
          <w:szCs w:val="32"/>
          <w:lang w:val="en-US" w:eastAsia="zh"/>
        </w:rPr>
        <w:t>.</w:t>
      </w:r>
      <w:r>
        <w:rPr>
          <w:rFonts w:hint="eastAsia" w:ascii="仿宋_GB2312" w:hAnsi="仿宋_GB2312" w:eastAsia="仿宋_GB2312" w:cs="仿宋_GB2312"/>
          <w:color w:val="000000" w:themeColor="text1"/>
          <w:sz w:val="32"/>
          <w:szCs w:val="32"/>
          <w:lang w:val="en-US" w:eastAsia="zh-CN"/>
        </w:rPr>
        <w:t>是否有购油合同、购油发票和凭证、油品质检报告、自有用油车辆和设施设备登记表以及相关所有权证明材料、油品进货和使用登记表</w:t>
      </w:r>
      <w:r>
        <w:rPr>
          <w:rFonts w:hint="eastAsia" w:ascii="仿宋_GB2312" w:hAnsi="仿宋_GB2312" w:eastAsia="仿宋_GB2312" w:cs="仿宋_GB2312"/>
          <w:color w:val="000000" w:themeColor="text1"/>
          <w:sz w:val="32"/>
          <w:szCs w:val="32"/>
          <w:lang w:val="en-US" w:eastAsia="zh"/>
        </w:rPr>
        <w:t>;2.</w:t>
      </w:r>
      <w:r>
        <w:rPr>
          <w:rFonts w:hint="eastAsia" w:ascii="仿宋_GB2312" w:hAnsi="仿宋_GB2312" w:eastAsia="仿宋_GB2312" w:cs="仿宋_GB2312"/>
          <w:color w:val="000000" w:themeColor="text1"/>
          <w:sz w:val="32"/>
          <w:szCs w:val="32"/>
          <w:lang w:val="en-US" w:eastAsia="zh-CN"/>
        </w:rPr>
        <w:t>油品质量要符合国家标准，购油发票和凭证要填写标注国六或VI字样</w:t>
      </w:r>
      <w:r>
        <w:rPr>
          <w:rFonts w:hint="eastAsia" w:ascii="仿宋_GB2312" w:hAnsi="仿宋_GB2312" w:eastAsia="仿宋_GB2312" w:cs="仿宋_GB2312"/>
          <w:color w:val="000000" w:themeColor="text1"/>
          <w:sz w:val="32"/>
          <w:szCs w:val="32"/>
          <w:lang w:val="en-US" w:eastAsia="zh"/>
        </w:rPr>
        <w:t>;3.</w:t>
      </w:r>
      <w:r>
        <w:rPr>
          <w:rFonts w:hint="eastAsia" w:ascii="仿宋_GB2312" w:hAnsi="仿宋_GB2312" w:eastAsia="仿宋_GB2312" w:cs="仿宋_GB2312"/>
          <w:color w:val="000000" w:themeColor="text1"/>
          <w:sz w:val="32"/>
          <w:szCs w:val="32"/>
          <w:lang w:val="en-US" w:eastAsia="zh-CN"/>
        </w:rPr>
        <w:t>相关票据凭证、台账、报告等资料保存期限不少于2年）</w:t>
      </w:r>
      <w:r>
        <w:rPr>
          <w:rFonts w:hint="eastAsia" w:ascii="仿宋_GB2312" w:hAnsi="仿宋_GB2312" w:eastAsia="仿宋_GB2312" w:cs="仿宋_GB2312"/>
          <w:color w:val="000000" w:themeColor="text1"/>
          <w:sz w:val="32"/>
          <w:szCs w:val="32"/>
          <w:lang w:val="en-US" w:eastAsia="zh"/>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十一、检查企业内设加油站点是否有规范填写油品进货和使用登记表（质量管控方面：1</w:t>
      </w:r>
      <w:r>
        <w:rPr>
          <w:rFonts w:hint="eastAsia" w:ascii="仿宋_GB2312" w:hAnsi="仿宋_GB2312" w:eastAsia="仿宋_GB2312" w:cs="仿宋_GB2312"/>
          <w:color w:val="000000" w:themeColor="text1"/>
          <w:sz w:val="32"/>
          <w:szCs w:val="32"/>
          <w:lang w:val="en-US" w:eastAsia="zh"/>
        </w:rPr>
        <w:t>.</w:t>
      </w:r>
      <w:r>
        <w:rPr>
          <w:rFonts w:hint="eastAsia" w:ascii="仿宋_GB2312" w:hAnsi="仿宋_GB2312" w:eastAsia="仿宋_GB2312" w:cs="仿宋_GB2312"/>
          <w:color w:val="000000" w:themeColor="text1"/>
          <w:sz w:val="32"/>
          <w:szCs w:val="32"/>
          <w:lang w:val="en-US" w:eastAsia="zh-CN"/>
        </w:rPr>
        <w:t>《油品进货登记表》的上月库存、加油日期、加油数量、</w:t>
      </w:r>
      <w:r>
        <w:rPr>
          <w:rFonts w:hint="eastAsia" w:ascii="仿宋_GB2312" w:hAnsi="仿宋_GB2312" w:eastAsia="仿宋_GB2312" w:cs="仿宋_GB2312"/>
          <w:color w:val="000000" w:themeColor="text1"/>
          <w:sz w:val="32"/>
          <w:szCs w:val="32"/>
          <w:vertAlign w:val="baseline"/>
          <w:lang w:val="en-US" w:eastAsia="zh-CN"/>
        </w:rPr>
        <w:t>供货单位及配送车辆牌号</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vertAlign w:val="baseline"/>
          <w:lang w:val="en-US" w:eastAsia="zh-CN"/>
        </w:rPr>
        <w:t>购买凭证及质检报告编号、记录人等填写信息是否填写完整</w:t>
      </w:r>
      <w:r>
        <w:rPr>
          <w:rFonts w:hint="eastAsia" w:ascii="仿宋_GB2312" w:hAnsi="仿宋_GB2312" w:eastAsia="仿宋_GB2312" w:cs="仿宋_GB2312"/>
          <w:color w:val="000000" w:themeColor="text1"/>
          <w:sz w:val="32"/>
          <w:szCs w:val="32"/>
          <w:vertAlign w:val="baseline"/>
          <w:lang w:val="en-US" w:eastAsia="zh"/>
        </w:rPr>
        <w:t>;</w:t>
      </w:r>
      <w:r>
        <w:rPr>
          <w:rFonts w:hint="eastAsia" w:ascii="仿宋_GB2312" w:hAnsi="仿宋_GB2312" w:eastAsia="仿宋_GB2312" w:cs="仿宋_GB2312"/>
          <w:color w:val="000000" w:themeColor="text1"/>
          <w:sz w:val="32"/>
          <w:szCs w:val="32"/>
          <w:vertAlign w:val="baseline"/>
          <w:lang w:val="en-US" w:eastAsia="zh-CN"/>
        </w:rPr>
        <w:t>2</w:t>
      </w:r>
      <w:r>
        <w:rPr>
          <w:rFonts w:hint="eastAsia" w:ascii="仿宋_GB2312" w:hAnsi="仿宋_GB2312" w:eastAsia="仿宋_GB2312" w:cs="仿宋_GB2312"/>
          <w:color w:val="000000" w:themeColor="text1"/>
          <w:sz w:val="32"/>
          <w:szCs w:val="32"/>
          <w:vertAlign w:val="baseline"/>
          <w:lang w:val="en-US" w:eastAsia="zh"/>
        </w:rPr>
        <w:t>.</w:t>
      </w:r>
      <w:r>
        <w:rPr>
          <w:rFonts w:hint="eastAsia" w:ascii="仿宋_GB2312" w:hAnsi="仿宋_GB2312" w:eastAsia="仿宋_GB2312" w:cs="仿宋_GB2312"/>
          <w:color w:val="000000" w:themeColor="text1"/>
          <w:sz w:val="32"/>
          <w:szCs w:val="32"/>
          <w:vertAlign w:val="baseline"/>
          <w:lang w:val="en-US" w:eastAsia="zh-CN"/>
        </w:rPr>
        <w:t>《</w:t>
      </w:r>
      <w:r>
        <w:rPr>
          <w:rFonts w:hint="eastAsia" w:ascii="仿宋_GB2312" w:hAnsi="仿宋_GB2312" w:eastAsia="仿宋_GB2312" w:cs="仿宋_GB2312"/>
          <w:color w:val="000000" w:themeColor="text1"/>
          <w:sz w:val="32"/>
          <w:szCs w:val="32"/>
          <w:lang w:val="en-US" w:eastAsia="zh-CN"/>
        </w:rPr>
        <w:t>油品使用登记表</w:t>
      </w:r>
      <w:r>
        <w:rPr>
          <w:rFonts w:hint="eastAsia" w:ascii="仿宋_GB2312" w:hAnsi="仿宋_GB2312" w:eastAsia="仿宋_GB2312" w:cs="仿宋_GB2312"/>
          <w:color w:val="000000" w:themeColor="text1"/>
          <w:sz w:val="32"/>
          <w:szCs w:val="32"/>
          <w:vertAlign w:val="baseline"/>
          <w:lang w:val="en-US" w:eastAsia="zh-CN"/>
        </w:rPr>
        <w:t>》</w:t>
      </w:r>
      <w:r>
        <w:rPr>
          <w:rFonts w:hint="eastAsia" w:ascii="仿宋_GB2312" w:hAnsi="仿宋_GB2312" w:eastAsia="仿宋_GB2312" w:cs="仿宋_GB2312"/>
          <w:color w:val="000000" w:themeColor="text1"/>
          <w:sz w:val="32"/>
          <w:szCs w:val="32"/>
          <w:lang w:val="en-US" w:eastAsia="zh-CN"/>
        </w:rPr>
        <w:t>的日期、用油数量、</w:t>
      </w:r>
      <w:r>
        <w:rPr>
          <w:rFonts w:hint="eastAsia" w:ascii="仿宋_GB2312" w:hAnsi="仿宋_GB2312" w:eastAsia="仿宋_GB2312" w:cs="仿宋_GB2312"/>
          <w:color w:val="000000" w:themeColor="text1"/>
          <w:sz w:val="32"/>
          <w:szCs w:val="32"/>
          <w:vertAlign w:val="baseline"/>
          <w:lang w:val="en-US" w:eastAsia="zh-CN"/>
        </w:rPr>
        <w:t>使用车辆牌号或设施设备编号、领用人签字、领用人联系电话、记录人等填写信息是否填写完整</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lang w:val="en-US" w:eastAsia="zh-CN"/>
        </w:rPr>
        <w:t>十二、检查企业内设加油站点是否有对外销售油品的违规行为,是否有购进和使用走私油、非标油等违法行为（质量管控方面:</w:t>
      </w:r>
      <w:r>
        <w:rPr>
          <w:rFonts w:hint="eastAsia" w:ascii="仿宋_GB2312" w:hAnsi="仿宋_GB2312" w:eastAsia="仿宋_GB2312" w:cs="仿宋_GB2312"/>
          <w:b/>
          <w:bCs/>
          <w:color w:val="000000" w:themeColor="text1"/>
          <w:sz w:val="32"/>
          <w:szCs w:val="32"/>
          <w:lang w:val="en-US" w:eastAsia="zh-CN"/>
        </w:rPr>
        <w:t>重点排查</w:t>
      </w:r>
      <w:r>
        <w:rPr>
          <w:rFonts w:hint="eastAsia" w:ascii="仿宋_GB2312" w:hAnsi="仿宋_GB2312" w:eastAsia="仿宋_GB2312" w:cs="仿宋_GB2312"/>
          <w:color w:val="000000" w:themeColor="text1"/>
          <w:sz w:val="32"/>
          <w:szCs w:val="32"/>
          <w:lang w:val="en-US" w:eastAsia="zh-CN"/>
        </w:rPr>
        <w:t>企业加油站点是否有涉及这些方面的情况）。</w:t>
      </w:r>
    </w:p>
    <w:p>
      <w:pPr>
        <w:keepNext w:val="0"/>
        <w:keepLines w:val="0"/>
        <w:pageBreakBefore w:val="0"/>
        <w:widowControl w:val="0"/>
        <w:kinsoku/>
        <w:wordWrap/>
        <w:overflowPunct/>
        <w:topLinePunct w:val="0"/>
        <w:autoSpaceDE/>
        <w:autoSpaceDN/>
        <w:bidi w:val="0"/>
        <w:spacing w:line="560" w:lineRule="exact"/>
        <w:jc w:val="both"/>
      </w:pPr>
      <w:r>
        <w:rPr>
          <w:rFonts w:hint="eastAsia"/>
        </w:rPr>
        <w:pict>
          <v:shape id="CopyReportText" o:spid="_x0000_s1030" o:spt="202" type="#_x0000_t202" style="position:absolute;left:0pt;margin-left:433.75pt;margin-top:697.9pt;height:22.95pt;width:8.4pt;mso-position-vertical-relative:page;z-index:251660288;mso-width-relative:page;mso-height-relative:page;" filled="f" stroked="f" coordsize="21600,21600">
            <v:path/>
            <v:fill on="f" focussize="0,0"/>
            <v:stroke on="f"/>
            <v:imagedata o:title=""/>
            <o:lock v:ext="edit" grouping="f" rotation="f" text="f" aspectratio="f"/>
            <v:textbox inset="0mm,0mm,0mm,0mm">
              <w:txbxContent>
                <w:p>
                  <w:pPr>
                    <w:rPr>
                      <w:rFonts w:hint="default"/>
                    </w:rPr>
                  </w:pPr>
                </w:p>
              </w:txbxContent>
            </v:textbox>
            <w10:anchorlock/>
          </v:shape>
        </w:pic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1" o:spid="_x0000_s2049"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JhMTFiZmRiYWYzNWRhMjdhYzhjMDIyMTM2ZWI4NTAifQ=="/>
  </w:docVars>
  <w:rsids>
    <w:rsidRoot w:val="00FB401B"/>
    <w:rsid w:val="000C255C"/>
    <w:rsid w:val="001E19F7"/>
    <w:rsid w:val="00263465"/>
    <w:rsid w:val="002B61E3"/>
    <w:rsid w:val="003F1828"/>
    <w:rsid w:val="00564347"/>
    <w:rsid w:val="006410F5"/>
    <w:rsid w:val="008A1769"/>
    <w:rsid w:val="00BA6E4E"/>
    <w:rsid w:val="00BF3E8B"/>
    <w:rsid w:val="00C05576"/>
    <w:rsid w:val="00DA5139"/>
    <w:rsid w:val="00E42E4C"/>
    <w:rsid w:val="00EA2198"/>
    <w:rsid w:val="00FB401B"/>
    <w:rsid w:val="276AFB9E"/>
    <w:rsid w:val="29DF20FB"/>
    <w:rsid w:val="2BFA9CA5"/>
    <w:rsid w:val="2FAF52AF"/>
    <w:rsid w:val="3BB4353C"/>
    <w:rsid w:val="45F53741"/>
    <w:rsid w:val="4FFFDD65"/>
    <w:rsid w:val="6CBFC4A6"/>
    <w:rsid w:val="6CEF60C5"/>
    <w:rsid w:val="6DF90905"/>
    <w:rsid w:val="77ED58CA"/>
    <w:rsid w:val="7B7B660E"/>
    <w:rsid w:val="7BEA5812"/>
    <w:rsid w:val="7C4BB1B4"/>
    <w:rsid w:val="86DB4BF8"/>
    <w:rsid w:val="9AFE1042"/>
    <w:rsid w:val="AFEF298D"/>
    <w:rsid w:val="B4767DA3"/>
    <w:rsid w:val="EBF73803"/>
    <w:rsid w:val="F6AFB539"/>
    <w:rsid w:val="F9AD7137"/>
    <w:rsid w:val="F9BFC678"/>
    <w:rsid w:val="FF68942D"/>
    <w:rsid w:val="FFEB7B1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customStyle="1" w:styleId="3">
    <w:name w:val="正文缩进311"/>
    <w:next w:val="1"/>
    <w:qFormat/>
    <w:uiPriority w:val="99"/>
    <w:pPr>
      <w:wordWrap w:val="0"/>
      <w:ind w:left="3400"/>
      <w:jc w:val="both"/>
    </w:pPr>
    <w:rPr>
      <w:rFonts w:ascii="Calibri" w:hAnsi="Calibri" w:eastAsia="宋体" w:cs="Times New Roman"/>
      <w:kern w:val="0"/>
      <w:sz w:val="21"/>
      <w:szCs w:val="22"/>
      <w:lang w:val="en-US" w:eastAsia="zh-CN" w:bidi="ar-SA"/>
    </w:rPr>
  </w:style>
  <w:style w:type="paragraph" w:styleId="4">
    <w:name w:val="index 6"/>
    <w:next w:val="1"/>
    <w:qFormat/>
    <w:uiPriority w:val="0"/>
    <w:pPr>
      <w:widowControl w:val="0"/>
      <w:ind w:left="2100"/>
      <w:jc w:val="both"/>
    </w:pPr>
    <w:rPr>
      <w:rFonts w:ascii="Times New Roman" w:hAnsi="Times New Roman" w:eastAsia="宋体" w:cs="Times New Roman"/>
      <w:kern w:val="2"/>
      <w:sz w:val="21"/>
      <w:lang w:val="en-US" w:eastAsia="zh-CN" w:bidi="ar-SA"/>
    </w:rPr>
  </w:style>
  <w:style w:type="paragraph" w:styleId="5">
    <w:name w:val="toc 5"/>
    <w:basedOn w:val="1"/>
    <w:next w:val="1"/>
    <w:qFormat/>
    <w:uiPriority w:val="0"/>
    <w:pPr>
      <w:ind w:left="1680"/>
    </w:pPr>
    <w:rPr>
      <w:rFonts w:ascii="仿宋_GB2312" w:hAnsi="Times New Roman" w:eastAsia="仿宋_GB2312" w:cs="Times New Roman"/>
      <w:sz w:val="32"/>
      <w:szCs w:val="32"/>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cs="宋体"/>
      <w:kern w:val="0"/>
      <w:sz w:val="24"/>
    </w:rPr>
  </w:style>
  <w:style w:type="paragraph" w:styleId="9">
    <w:name w:val="Body Text First Indent 2"/>
    <w:next w:val="4"/>
    <w:qFormat/>
    <w:uiPriority w:val="0"/>
    <w:pPr>
      <w:widowControl w:val="0"/>
      <w:spacing w:after="120"/>
      <w:ind w:firstLine="40"/>
      <w:jc w:val="both"/>
    </w:pPr>
    <w:rPr>
      <w:rFonts w:ascii="仿宋_GB2312" w:hAnsi="仿宋_GB2312" w:eastAsia="仿宋" w:cs="仿宋_GB2312"/>
      <w:kern w:val="2"/>
      <w:sz w:val="32"/>
      <w:szCs w:val="32"/>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customStyle="1" w:styleId="14">
    <w:name w:val="页眉 Char"/>
    <w:basedOn w:val="12"/>
    <w:link w:val="7"/>
    <w:qFormat/>
    <w:uiPriority w:val="99"/>
    <w:rPr>
      <w:rFonts w:ascii="Times New Roman" w:hAnsi="Times New Roman" w:eastAsia="宋体" w:cs="Times New Roman"/>
      <w:sz w:val="18"/>
      <w:szCs w:val="18"/>
    </w:rPr>
  </w:style>
  <w:style w:type="character" w:customStyle="1" w:styleId="15">
    <w:name w:val="页脚 Char"/>
    <w:basedOn w:val="12"/>
    <w:link w:val="6"/>
    <w:qFormat/>
    <w:uiPriority w:val="99"/>
    <w:rPr>
      <w:rFonts w:ascii="Times New Roman" w:hAnsi="Times New Roman" w:eastAsia="宋体" w:cs="Times New Roman"/>
      <w:sz w:val="18"/>
      <w:szCs w:val="18"/>
    </w:rPr>
  </w:style>
  <w:style w:type="paragraph" w:customStyle="1" w:styleId="16">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 w:type="paragraph" w:customStyle="1" w:styleId="17">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8">
    <w:name w:val="font11"/>
    <w:basedOn w:val="12"/>
    <w:qFormat/>
    <w:uiPriority w:val="0"/>
    <w:rPr>
      <w:rFonts w:hint="eastAsia" w:ascii="宋体" w:hAnsi="宋体" w:eastAsia="宋体" w:cs="宋体"/>
      <w:color w:val="000000"/>
      <w:sz w:val="22"/>
      <w:szCs w:val="22"/>
      <w:u w:val="none"/>
    </w:rPr>
  </w:style>
  <w:style w:type="paragraph" w:customStyle="1" w:styleId="19">
    <w:name w:val="Char Char Char Char Char Char Char Char Char Char"/>
    <w:basedOn w:val="20"/>
    <w:qFormat/>
    <w:uiPriority w:val="0"/>
    <w:pPr>
      <w:tabs>
        <w:tab w:val="left" w:pos="1354"/>
      </w:tabs>
    </w:pPr>
  </w:style>
  <w:style w:type="paragraph" w:customStyle="1" w:styleId="2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font01"/>
    <w:basedOn w:val="12"/>
    <w:qFormat/>
    <w:uiPriority w:val="0"/>
    <w:rPr>
      <w:rFonts w:hint="eastAsia" w:ascii="宋体" w:hAnsi="宋体" w:eastAsia="宋体" w:cs="宋体"/>
      <w:color w:val="000000"/>
      <w:sz w:val="22"/>
      <w:szCs w:val="22"/>
      <w:u w:val="none"/>
      <w:vertAlign w:val="superscript"/>
    </w:rPr>
  </w:style>
  <w:style w:type="paragraph" w:customStyle="1" w:styleId="22">
    <w:name w:val="页眉 New"/>
    <w:basedOn w:val="17"/>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页脚 New"/>
    <w:basedOn w:val="17"/>
    <w:qFormat/>
    <w:uiPriority w:val="0"/>
    <w:pPr>
      <w:tabs>
        <w:tab w:val="center" w:pos="4153"/>
        <w:tab w:val="right" w:pos="8306"/>
      </w:tabs>
      <w:snapToGrid w:val="0"/>
      <w:jc w:val="left"/>
    </w:pPr>
    <w:rPr>
      <w:sz w:val="18"/>
      <w:szCs w:val="18"/>
    </w:rPr>
  </w:style>
  <w:style w:type="character" w:customStyle="1" w:styleId="24">
    <w:name w:val="页码 New"/>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355</Words>
  <Characters>2028</Characters>
  <Lines>16</Lines>
  <Paragraphs>4</Paragraphs>
  <TotalTime>901</TotalTime>
  <ScaleCrop>false</ScaleCrop>
  <LinksUpToDate>false</LinksUpToDate>
  <CharactersWithSpaces>2379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2020-10-03T02:35:00Z</dcterms:created>
  <dc:creator>雨林木风</dc:creator>
  <cp:lastModifiedBy>章丽娜</cp:lastModifiedBy>
  <cp:lastPrinted>2023-11-29T14:29:00Z</cp:lastPrinted>
  <dcterms:modified xsi:type="dcterms:W3CDTF">2023-12-01T08:30:30Z</dcterms:modified>
  <dc:title>龙岩市规范企业内设加油站点监管</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E05515FC30D141D7BF92A8B53C11E24A_12</vt:lpwstr>
  </property>
</Properties>
</file>