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spacing w:line="3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0"/>
        <w:spacing w:line="380" w:lineRule="exact"/>
        <w:rPr>
          <w:rFonts w:hint="eastAsia" w:ascii="宋体" w:hAnsi="宋体"/>
          <w:sz w:val="32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sz w:val="44"/>
          <w:szCs w:val="44"/>
        </w:rPr>
        <w:t>重点副食品调控基地申报表</w:t>
      </w:r>
    </w:p>
    <w:p>
      <w:pPr>
        <w:pStyle w:val="20"/>
        <w:spacing w:line="380" w:lineRule="exact"/>
        <w:rPr>
          <w:rFonts w:hint="eastAsia" w:ascii="宋体" w:hAnsi="宋体"/>
          <w:sz w:val="32"/>
          <w:szCs w:val="32"/>
        </w:rPr>
      </w:pPr>
    </w:p>
    <w:tbl>
      <w:tblPr>
        <w:tblStyle w:val="10"/>
        <w:tblW w:w="8677" w:type="dxa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519"/>
        <w:gridCol w:w="561"/>
        <w:gridCol w:w="709"/>
        <w:gridCol w:w="851"/>
        <w:gridCol w:w="717"/>
        <w:gridCol w:w="1419"/>
        <w:gridCol w:w="840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gridSpan w:val="3"/>
            <w:noWrap w:val="0"/>
            <w:vAlign w:val="center"/>
          </w:tcPr>
          <w:p>
            <w:pPr>
              <w:pStyle w:val="2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基地企业名称</w:t>
            </w:r>
          </w:p>
        </w:tc>
        <w:tc>
          <w:tcPr>
            <w:tcW w:w="6541" w:type="dxa"/>
            <w:gridSpan w:val="6"/>
            <w:noWrap w:val="0"/>
            <w:vAlign w:val="center"/>
          </w:tcPr>
          <w:p>
            <w:pPr>
              <w:pStyle w:val="2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noWrap w:val="0"/>
            <w:vAlign w:val="center"/>
          </w:tcPr>
          <w:p>
            <w:pPr>
              <w:pStyle w:val="2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7621" w:type="dxa"/>
            <w:gridSpan w:val="8"/>
            <w:noWrap w:val="0"/>
            <w:vAlign w:val="center"/>
          </w:tcPr>
          <w:p>
            <w:pPr>
              <w:pStyle w:val="2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gridSpan w:val="2"/>
            <w:noWrap w:val="0"/>
            <w:vAlign w:val="center"/>
          </w:tcPr>
          <w:p>
            <w:pPr>
              <w:pStyle w:val="2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法人代表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pStyle w:val="2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pStyle w:val="2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2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pStyle w:val="2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gridSpan w:val="2"/>
            <w:noWrap w:val="0"/>
            <w:vAlign w:val="center"/>
          </w:tcPr>
          <w:p>
            <w:pPr>
              <w:pStyle w:val="2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pStyle w:val="2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pStyle w:val="2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2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pStyle w:val="2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pStyle w:val="20"/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申请材</w:t>
            </w:r>
          </w:p>
          <w:p>
            <w:pPr>
              <w:pStyle w:val="20"/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料清单</w:t>
            </w:r>
          </w:p>
        </w:tc>
        <w:tc>
          <w:tcPr>
            <w:tcW w:w="7102" w:type="dxa"/>
            <w:gridSpan w:val="7"/>
            <w:noWrap w:val="0"/>
            <w:vAlign w:val="center"/>
          </w:tcPr>
          <w:p>
            <w:pPr>
              <w:pStyle w:val="20"/>
              <w:spacing w:line="420" w:lineRule="exact"/>
              <w:ind w:firstLine="556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/>
                <w:sz w:val="28"/>
                <w:szCs w:val="28"/>
              </w:rPr>
              <w:t>省级城市副食品调控基地管理协议</w:t>
            </w:r>
          </w:p>
          <w:p>
            <w:pPr>
              <w:pStyle w:val="20"/>
              <w:spacing w:line="420" w:lineRule="exact"/>
              <w:ind w:firstLine="556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/>
                <w:sz w:val="28"/>
                <w:szCs w:val="28"/>
              </w:rPr>
              <w:t>重点副食品调控基地评分表及证明材料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pStyle w:val="20"/>
              <w:spacing w:line="42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申报基地企业基本情况简介</w:t>
            </w:r>
          </w:p>
        </w:tc>
        <w:tc>
          <w:tcPr>
            <w:tcW w:w="7102" w:type="dxa"/>
            <w:gridSpan w:val="7"/>
            <w:noWrap w:val="0"/>
            <w:vAlign w:val="center"/>
          </w:tcPr>
          <w:p>
            <w:pPr>
              <w:pStyle w:val="20"/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pStyle w:val="20"/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基地企业意见</w:t>
            </w:r>
          </w:p>
        </w:tc>
        <w:tc>
          <w:tcPr>
            <w:tcW w:w="7102" w:type="dxa"/>
            <w:gridSpan w:val="7"/>
            <w:noWrap w:val="0"/>
            <w:vAlign w:val="top"/>
          </w:tcPr>
          <w:p>
            <w:pPr>
              <w:pStyle w:val="20"/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本企业自愿申报重点副食品调控基地，并承诺：保证所提交的申报材料真实、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有效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  <w:p>
            <w:pPr>
              <w:pStyle w:val="20"/>
              <w:spacing w:line="520" w:lineRule="exact"/>
              <w:ind w:right="139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（企业盖章）</w:t>
            </w:r>
          </w:p>
          <w:p>
            <w:pPr>
              <w:pStyle w:val="20"/>
              <w:spacing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pStyle w:val="2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县级商务部门意见</w:t>
            </w:r>
          </w:p>
        </w:tc>
        <w:tc>
          <w:tcPr>
            <w:tcW w:w="2838" w:type="dxa"/>
            <w:gridSpan w:val="4"/>
            <w:noWrap w:val="0"/>
            <w:vAlign w:val="top"/>
          </w:tcPr>
          <w:p>
            <w:pPr>
              <w:pStyle w:val="20"/>
              <w:spacing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0"/>
              <w:spacing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0"/>
              <w:spacing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0"/>
              <w:spacing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0"/>
              <w:spacing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（单位签章）</w:t>
            </w:r>
          </w:p>
          <w:p>
            <w:pPr>
              <w:pStyle w:val="20"/>
              <w:spacing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2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县级财政部门意见</w:t>
            </w:r>
          </w:p>
        </w:tc>
        <w:tc>
          <w:tcPr>
            <w:tcW w:w="2845" w:type="dxa"/>
            <w:gridSpan w:val="2"/>
            <w:noWrap w:val="0"/>
            <w:vAlign w:val="top"/>
          </w:tcPr>
          <w:p>
            <w:pPr>
              <w:pStyle w:val="20"/>
              <w:spacing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0"/>
              <w:spacing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0"/>
              <w:spacing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0"/>
              <w:spacing w:line="52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0"/>
              <w:spacing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（单位签章）</w:t>
            </w:r>
          </w:p>
          <w:p>
            <w:pPr>
              <w:pStyle w:val="20"/>
              <w:spacing w:line="5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pStyle w:val="20"/>
        <w:spacing w:line="3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重点副食品调控基地评分表</w:t>
      </w:r>
    </w:p>
    <w:tbl>
      <w:tblPr>
        <w:tblStyle w:val="10"/>
        <w:tblpPr w:leftFromText="180" w:rightFromText="180" w:vertAnchor="text" w:horzAnchor="page" w:tblpX="620" w:tblpY="236"/>
        <w:tblOverlap w:val="never"/>
        <w:tblW w:w="11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614"/>
        <w:gridCol w:w="4505"/>
        <w:gridCol w:w="1501"/>
        <w:gridCol w:w="2135"/>
        <w:gridCol w:w="586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68" w:type="dxa"/>
            <w:gridSpan w:val="2"/>
            <w:noWrap w:val="0"/>
            <w:vAlign w:val="center"/>
          </w:tcPr>
          <w:p>
            <w:pPr>
              <w:pStyle w:val="20"/>
              <w:adjustRightInd w:val="0"/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企业名称：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pStyle w:val="20"/>
              <w:adjustRightInd w:val="0"/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pStyle w:val="20"/>
              <w:adjustRightInd w:val="0"/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基地类型：</w:t>
            </w:r>
          </w:p>
        </w:tc>
        <w:tc>
          <w:tcPr>
            <w:tcW w:w="3676" w:type="dxa"/>
            <w:gridSpan w:val="3"/>
            <w:noWrap w:val="0"/>
            <w:vAlign w:val="center"/>
          </w:tcPr>
          <w:p>
            <w:pPr>
              <w:pStyle w:val="20"/>
              <w:adjustRightInd w:val="0"/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54" w:type="dxa"/>
            <w:noWrap w:val="0"/>
            <w:vAlign w:val="center"/>
          </w:tcPr>
          <w:p>
            <w:pPr>
              <w:pStyle w:val="20"/>
              <w:adjustRightInd w:val="0"/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评分项目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pStyle w:val="20"/>
              <w:adjustRightInd w:val="0"/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分值</w:t>
            </w:r>
          </w:p>
        </w:tc>
        <w:tc>
          <w:tcPr>
            <w:tcW w:w="8141" w:type="dxa"/>
            <w:gridSpan w:val="3"/>
            <w:noWrap w:val="0"/>
            <w:vAlign w:val="center"/>
          </w:tcPr>
          <w:p>
            <w:pPr>
              <w:pStyle w:val="20"/>
              <w:adjustRightInd w:val="0"/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评分标准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pStyle w:val="20"/>
              <w:adjustRightInd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企业自评得分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pStyle w:val="20"/>
              <w:adjustRightInd w:val="0"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县级商务部门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推荐</w:t>
            </w:r>
            <w:r>
              <w:rPr>
                <w:rFonts w:hint="eastAsia" w:ascii="宋体" w:hAnsi="宋体" w:cs="宋体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54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专业化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建设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8141" w:type="dxa"/>
            <w:gridSpan w:val="3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356" w:firstLineChars="200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近两年基地投资改造建设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项目金额（包括基础设施规范化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改造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、直销体系、品牌品质提升、规模品种扩大建设等）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200万元以上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得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5分、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100万元以上200万元以下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得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分、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50万元以上100万元以下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得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分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，未进行投资改造建设或者投资改造建设项目金额低于50万元的基地不得分。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（佐证材料：建设项目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投资证明材料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复印件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或</w:t>
            </w:r>
            <w:r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bidi="ar"/>
              </w:rPr>
              <w:t>属地农业等部门证明等）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954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规范化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8141" w:type="dxa"/>
            <w:gridSpan w:val="3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356" w:firstLineChars="200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1.基地主营产品获得绿色食品证书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有机食品证书得</w:t>
            </w: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分，农产品地理标志产品证书得1分，证书必须有效期内，否则不得分；（佐证材料：证书复印件等）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356" w:firstLineChars="200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2.基地经营主体为省级农业龙头企业得</w:t>
            </w: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分、市级农业龙头企业得</w:t>
            </w: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分、农民专业合作社示范社得2分、农业标准化示范园区（场）得</w:t>
            </w: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分；（佐证材料：文件</w:t>
            </w:r>
            <w:r>
              <w:rPr>
                <w:rFonts w:hint="eastAsia" w:ascii="宋体" w:hAnsi="宋体" w:cs="宋体"/>
                <w:sz w:val="18"/>
                <w:szCs w:val="18"/>
              </w:rPr>
              <w:t>资料</w:t>
            </w:r>
            <w:r>
              <w:rPr>
                <w:rFonts w:ascii="宋体" w:hAnsi="宋体" w:cs="宋体"/>
                <w:sz w:val="18"/>
                <w:szCs w:val="18"/>
              </w:rPr>
              <w:t>复印件）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356" w:firstLineChars="200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3.基地获得HACCP认证得</w:t>
            </w: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分，获得GAP认证得</w:t>
            </w: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分；（佐证材料：有效期内</w:t>
            </w:r>
            <w:r>
              <w:rPr>
                <w:rFonts w:hint="eastAsia" w:ascii="宋体" w:hAnsi="宋体" w:cs="宋体"/>
                <w:sz w:val="18"/>
                <w:szCs w:val="18"/>
              </w:rPr>
              <w:t>的</w:t>
            </w:r>
            <w:r>
              <w:rPr>
                <w:rFonts w:ascii="宋体" w:hAnsi="宋体" w:cs="宋体"/>
                <w:sz w:val="18"/>
                <w:szCs w:val="18"/>
              </w:rPr>
              <w:t>证书复印件）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4.畜禽养殖基地粪污无害化处理设施齐全</w:t>
            </w:r>
            <w:r>
              <w:rPr>
                <w:rFonts w:hint="eastAsia" w:ascii="宋体" w:hAnsi="宋体" w:cs="宋体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z w:val="18"/>
                <w:szCs w:val="18"/>
              </w:rPr>
              <w:t>得</w:t>
            </w: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sz w:val="18"/>
                <w:szCs w:val="18"/>
              </w:rPr>
              <w:t>分；（佐证材料：设备等现场照片，环保部门验收材料）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356" w:firstLineChars="200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5.蔬菜生产基地建立深加工</w:t>
            </w:r>
            <w:r>
              <w:rPr>
                <w:rFonts w:hint="eastAsia" w:ascii="宋体" w:hAnsi="宋体" w:cs="宋体"/>
                <w:sz w:val="18"/>
                <w:szCs w:val="18"/>
              </w:rPr>
              <w:t>或</w:t>
            </w:r>
            <w:r>
              <w:rPr>
                <w:rFonts w:ascii="宋体" w:hAnsi="宋体" w:cs="宋体"/>
                <w:sz w:val="18"/>
                <w:szCs w:val="18"/>
              </w:rPr>
              <w:t>冷库设施得</w:t>
            </w: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sz w:val="18"/>
                <w:szCs w:val="18"/>
              </w:rPr>
              <w:t>分；（佐证材料：设备等现场照片，资质证书等）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356" w:firstLineChars="200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6.基地开展品牌宣传推介和市场开拓，</w:t>
            </w:r>
            <w:r>
              <w:rPr>
                <w:rFonts w:hint="eastAsia" w:ascii="宋体" w:hAnsi="宋体" w:cs="宋体"/>
                <w:sz w:val="18"/>
                <w:szCs w:val="18"/>
              </w:rPr>
              <w:t>每</w:t>
            </w:r>
            <w:r>
              <w:rPr>
                <w:rFonts w:ascii="宋体" w:hAnsi="宋体" w:cs="宋体"/>
                <w:sz w:val="18"/>
                <w:szCs w:val="18"/>
              </w:rPr>
              <w:t>参加</w:t>
            </w:r>
            <w:r>
              <w:rPr>
                <w:rFonts w:hint="eastAsia" w:ascii="宋体" w:hAnsi="宋体" w:cs="宋体"/>
                <w:sz w:val="18"/>
                <w:szCs w:val="18"/>
              </w:rPr>
              <w:t>一次</w:t>
            </w:r>
            <w:r>
              <w:rPr>
                <w:rFonts w:ascii="宋体" w:hAnsi="宋体" w:cs="宋体"/>
                <w:sz w:val="18"/>
                <w:szCs w:val="18"/>
              </w:rPr>
              <w:t>国内外展会得1分</w:t>
            </w:r>
            <w:r>
              <w:rPr>
                <w:rFonts w:hint="eastAsia" w:ascii="宋体" w:hAnsi="宋体" w:cs="宋体"/>
                <w:sz w:val="18"/>
                <w:szCs w:val="18"/>
              </w:rPr>
              <w:t>，封顶3分</w:t>
            </w:r>
            <w:r>
              <w:rPr>
                <w:rFonts w:ascii="宋体" w:hAnsi="宋体" w:cs="宋体"/>
                <w:sz w:val="18"/>
                <w:szCs w:val="18"/>
              </w:rPr>
              <w:t>；（佐证材料：参展证书复印件</w:t>
            </w:r>
            <w:r>
              <w:rPr>
                <w:rFonts w:hint="eastAsia" w:ascii="宋体" w:hAnsi="宋体" w:cs="宋体"/>
                <w:sz w:val="18"/>
                <w:szCs w:val="18"/>
              </w:rPr>
              <w:t>或</w:t>
            </w:r>
            <w:r>
              <w:rPr>
                <w:rFonts w:ascii="宋体" w:hAnsi="宋体" w:cs="宋体"/>
                <w:sz w:val="18"/>
                <w:szCs w:val="18"/>
              </w:rPr>
              <w:t>相关</w:t>
            </w:r>
            <w:r>
              <w:rPr>
                <w:rFonts w:hint="eastAsia" w:ascii="宋体" w:hAnsi="宋体" w:cs="宋体"/>
                <w:sz w:val="18"/>
                <w:szCs w:val="18"/>
              </w:rPr>
              <w:t>参加</w:t>
            </w:r>
            <w:r>
              <w:rPr>
                <w:rFonts w:ascii="宋体" w:hAnsi="宋体" w:cs="宋体"/>
                <w:sz w:val="18"/>
                <w:szCs w:val="18"/>
              </w:rPr>
              <w:t>展会照片资料等）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4" w:hRule="atLeast"/>
        </w:trPr>
        <w:tc>
          <w:tcPr>
            <w:tcW w:w="954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产业化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经营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8141" w:type="dxa"/>
            <w:gridSpan w:val="3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356" w:firstLineChars="200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.基地开展直供销售，建立直销店或自营店或电商平台网店得2分，在批发市场、商超设立产品专卖柜得2分；开展2个以上直销店或自营店或专卖柜每增加1个加2分；与批发市场、商超每签订直供直销协议一份加1分；封顶15分；（佐证材料：直销店营业执照、协议复印件、照片等）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356" w:firstLineChars="200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2.主营产品创立品牌得3分，获省级及以上名牌农产品得2分；（佐证材料：商标注册证书复印件）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356" w:firstLineChars="200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3.生猪基地年出栏商品猪≥1.5万头，或存栏育龄母猪≥800头，得20分；年出栏每增加</w:t>
            </w: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000头，加</w:t>
            </w: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分，封顶</w:t>
            </w: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  <w:r>
              <w:rPr>
                <w:rFonts w:ascii="宋体" w:hAnsi="宋体" w:cs="宋体"/>
                <w:sz w:val="18"/>
                <w:szCs w:val="18"/>
              </w:rPr>
              <w:t>分；（佐证材料：20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 w:cs="宋体"/>
                <w:sz w:val="18"/>
                <w:szCs w:val="18"/>
              </w:rPr>
              <w:t>年某月-202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年某月企业报表、“福建省副食品”公众微信号产销数据</w:t>
            </w:r>
            <w:r>
              <w:rPr>
                <w:rFonts w:hint="eastAsia" w:ascii="宋体" w:hAnsi="宋体" w:cs="宋体"/>
                <w:sz w:val="18"/>
                <w:szCs w:val="18"/>
              </w:rPr>
              <w:t>或农业部门证明</w:t>
            </w:r>
            <w:r>
              <w:rPr>
                <w:rFonts w:ascii="宋体" w:hAnsi="宋体" w:cs="宋体"/>
                <w:sz w:val="18"/>
                <w:szCs w:val="18"/>
              </w:rPr>
              <w:t>等）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356" w:firstLineChars="200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4.蛋禽基地年产蛋≥</w:t>
            </w:r>
            <w:r>
              <w:rPr>
                <w:rFonts w:hint="eastAsia" w:ascii="宋体" w:hAnsi="宋体" w:cs="宋体"/>
                <w:sz w:val="18"/>
                <w:szCs w:val="18"/>
              </w:rPr>
              <w:t>50</w:t>
            </w:r>
            <w:r>
              <w:rPr>
                <w:rFonts w:ascii="宋体" w:hAnsi="宋体" w:cs="宋体"/>
                <w:sz w:val="18"/>
                <w:szCs w:val="18"/>
              </w:rPr>
              <w:t>万公斤，或年蛋禽存栏量≥</w:t>
            </w: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sz w:val="18"/>
                <w:szCs w:val="18"/>
              </w:rPr>
              <w:t>万羽，得20分；年产蛋量每增加5万公斤，或存栏每增加1万羽，加2分，封顶</w:t>
            </w: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  <w:r>
              <w:rPr>
                <w:rFonts w:ascii="宋体" w:hAnsi="宋体" w:cs="宋体"/>
                <w:sz w:val="18"/>
                <w:szCs w:val="18"/>
              </w:rPr>
              <w:t>分；（佐证材料：20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 w:cs="宋体"/>
                <w:sz w:val="18"/>
                <w:szCs w:val="18"/>
              </w:rPr>
              <w:t>年某月-202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年某月企业报表、“福建省副食品”公众微信号产销数据</w:t>
            </w:r>
            <w:r>
              <w:rPr>
                <w:rFonts w:hint="eastAsia" w:ascii="宋体" w:hAnsi="宋体" w:cs="宋体"/>
                <w:sz w:val="18"/>
                <w:szCs w:val="18"/>
              </w:rPr>
              <w:t>或农业部门证明</w:t>
            </w:r>
            <w:r>
              <w:rPr>
                <w:rFonts w:ascii="宋体" w:hAnsi="宋体" w:cs="宋体"/>
                <w:sz w:val="18"/>
                <w:szCs w:val="18"/>
              </w:rPr>
              <w:t>等）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356" w:firstLineChars="200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5.蔬菜基地（不含食用菌、西甜瓜、马铃薯、草莓）种植面积≥500亩得20分，每增加100亩加2分，封顶</w:t>
            </w: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  <w:r>
              <w:rPr>
                <w:rFonts w:ascii="宋体" w:hAnsi="宋体" w:cs="宋体"/>
                <w:sz w:val="18"/>
                <w:szCs w:val="18"/>
              </w:rPr>
              <w:t>分；（佐证材料：20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 w:cs="宋体"/>
                <w:sz w:val="18"/>
                <w:szCs w:val="18"/>
              </w:rPr>
              <w:t>年某月-202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年某月企业报表、种植土地合同等、“福建省副食品”公众微信号产销数据</w:t>
            </w:r>
            <w:r>
              <w:rPr>
                <w:rFonts w:hint="eastAsia" w:ascii="宋体" w:hAnsi="宋体" w:cs="宋体"/>
                <w:sz w:val="18"/>
                <w:szCs w:val="18"/>
              </w:rPr>
              <w:t>或农业部门证明</w:t>
            </w:r>
            <w:r>
              <w:rPr>
                <w:rFonts w:ascii="宋体" w:hAnsi="宋体" w:cs="宋体"/>
                <w:sz w:val="18"/>
                <w:szCs w:val="18"/>
              </w:rPr>
              <w:t>等）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356" w:firstLineChars="200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sz w:val="18"/>
                <w:szCs w:val="18"/>
              </w:rPr>
              <w:t>.肉牛基地年出栏商品牛≥</w:t>
            </w: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000头，或年平均存栏≥1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00头，得2</w:t>
            </w: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分；年出栏每增加</w:t>
            </w: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00头，加</w:t>
            </w: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分，封顶</w:t>
            </w: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  <w:r>
              <w:rPr>
                <w:rFonts w:ascii="宋体" w:hAnsi="宋体" w:cs="宋体"/>
                <w:sz w:val="18"/>
                <w:szCs w:val="18"/>
              </w:rPr>
              <w:t>分；（佐证材料：20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 w:cs="宋体"/>
                <w:sz w:val="18"/>
                <w:szCs w:val="18"/>
              </w:rPr>
              <w:t>年某月-202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年某月企业报表、“福建省副食品”公众微信号产销数据</w:t>
            </w:r>
            <w:r>
              <w:rPr>
                <w:rFonts w:hint="eastAsia" w:ascii="宋体" w:hAnsi="宋体" w:cs="宋体"/>
                <w:sz w:val="18"/>
                <w:szCs w:val="18"/>
              </w:rPr>
              <w:t>或农业部门证明</w:t>
            </w:r>
            <w:r>
              <w:rPr>
                <w:rFonts w:ascii="宋体" w:hAnsi="宋体" w:cs="宋体"/>
                <w:sz w:val="18"/>
                <w:szCs w:val="18"/>
              </w:rPr>
              <w:t>等）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356" w:firstLineChars="200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sz w:val="18"/>
                <w:szCs w:val="18"/>
              </w:rPr>
              <w:t>.肉羊基地年出栏商品羊≥</w:t>
            </w: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000头，或年平均存栏≥1000头，得20分；年出栏每增加</w:t>
            </w: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00头，加</w:t>
            </w: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分，封顶</w:t>
            </w: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  <w:r>
              <w:rPr>
                <w:rFonts w:ascii="宋体" w:hAnsi="宋体" w:cs="宋体"/>
                <w:sz w:val="18"/>
                <w:szCs w:val="18"/>
              </w:rPr>
              <w:t>分（佐证材料：20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 w:cs="宋体"/>
                <w:sz w:val="18"/>
                <w:szCs w:val="18"/>
              </w:rPr>
              <w:t>年某月-202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年某月企业报表、“福建省副食品”公众微信号产销数据</w:t>
            </w:r>
            <w:r>
              <w:rPr>
                <w:rFonts w:hint="eastAsia" w:ascii="宋体" w:hAnsi="宋体" w:cs="宋体"/>
                <w:sz w:val="18"/>
                <w:szCs w:val="18"/>
              </w:rPr>
              <w:t>或农业部门证明</w:t>
            </w:r>
            <w:r>
              <w:rPr>
                <w:rFonts w:ascii="宋体" w:hAnsi="宋体" w:cs="宋体"/>
                <w:sz w:val="18"/>
                <w:szCs w:val="18"/>
              </w:rPr>
              <w:t>等）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54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应急化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调控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8141" w:type="dxa"/>
            <w:gridSpan w:val="3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356" w:firstLineChars="200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按照商务部门要求，在节假日、灾害天气、重大动植物疫情期间保障市场供应，开展应急调控工作1次得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分，每增加1次得2分，封顶得10分；（佐证材料：属地商务部门文件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、照片资料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等）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54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信息化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保供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8141" w:type="dxa"/>
            <w:gridSpan w:val="3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firstLine="356" w:firstLineChars="200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基地通过“福建省副食品”公众微信号按月度准确及时报送基地产销信息，符合要求的信息报送率达</w:t>
            </w:r>
            <w:r>
              <w:rPr>
                <w:rFonts w:ascii="宋体" w:hAnsi="宋体" w:cs="宋体"/>
                <w:sz w:val="18"/>
                <w:szCs w:val="18"/>
              </w:rPr>
              <w:t>98%</w:t>
            </w:r>
            <w:r>
              <w:rPr>
                <w:rFonts w:hint="eastAsia" w:ascii="宋体" w:hAnsi="宋体" w:cs="宋体"/>
                <w:sz w:val="18"/>
                <w:szCs w:val="18"/>
              </w:rPr>
              <w:t>以上得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分，</w:t>
            </w:r>
            <w:r>
              <w:rPr>
                <w:rFonts w:ascii="宋体" w:hAnsi="宋体" w:cs="宋体"/>
                <w:sz w:val="18"/>
                <w:szCs w:val="18"/>
              </w:rPr>
              <w:t>95%-98%</w:t>
            </w:r>
            <w:r>
              <w:rPr>
                <w:rFonts w:hint="eastAsia" w:ascii="宋体" w:hAnsi="宋体" w:cs="宋体"/>
                <w:sz w:val="18"/>
                <w:szCs w:val="18"/>
              </w:rPr>
              <w:t>得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分，</w:t>
            </w:r>
            <w:r>
              <w:rPr>
                <w:rFonts w:ascii="宋体" w:hAnsi="宋体" w:cs="宋体"/>
                <w:sz w:val="18"/>
                <w:szCs w:val="18"/>
              </w:rPr>
              <w:t>90%-95%</w:t>
            </w:r>
            <w:r>
              <w:rPr>
                <w:rFonts w:hint="eastAsia" w:ascii="宋体" w:hAnsi="宋体" w:cs="宋体"/>
                <w:sz w:val="18"/>
                <w:szCs w:val="18"/>
              </w:rPr>
              <w:t>得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250" w:type="dxa"/>
            <w:gridSpan w:val="7"/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备注：基地类型分为5类：蔬菜种植基地、蛋禽养殖基地、生猪养殖基地、肉牛养殖基地、肉羊养殖基地。</w:t>
            </w:r>
          </w:p>
        </w:tc>
      </w:tr>
    </w:tbl>
    <w:p>
      <w:pPr>
        <w:pStyle w:val="3"/>
        <w:ind w:left="0" w:leftChars="0" w:firstLine="0" w:firstLineChars="0"/>
        <w:rPr>
          <w:rFonts w:hint="eastAsia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numberInDash" w:start="2"/>
          <w:cols w:space="720" w:num="1"/>
          <w:docGrid w:type="linesAndChars" w:linePitch="596" w:charSpace="-439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0" w:firstLineChars="0"/>
        <w:jc w:val="center"/>
        <w:textAlignment w:val="auto"/>
        <w:rPr>
          <w:rStyle w:val="18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ar"/>
        </w:rPr>
      </w:pPr>
      <w:r>
        <w:rPr>
          <w:rStyle w:val="18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ar"/>
        </w:rPr>
        <w:t>福建省商务资金管理信息系统数据采集表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textAlignment w:val="auto"/>
        <w:rPr>
          <w:rStyle w:val="18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填报单位（公章）：</w:t>
      </w:r>
    </w:p>
    <w:tbl>
      <w:tblPr>
        <w:tblStyle w:val="10"/>
        <w:tblW w:w="142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173"/>
        <w:gridCol w:w="1200"/>
        <w:gridCol w:w="1507"/>
        <w:gridCol w:w="1117"/>
        <w:gridCol w:w="1003"/>
        <w:gridCol w:w="2141"/>
        <w:gridCol w:w="1159"/>
        <w:gridCol w:w="1146"/>
        <w:gridCol w:w="1173"/>
        <w:gridCol w:w="1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单位全称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(不能为空)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项目名称(不能为空)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支持金额（元）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(不能为空)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统一信用代码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(18位)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组织代码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(9位)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海关编码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(10位)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单位性质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（进出口经营企业、无进出口经营企业、事业单位、社会团体、行政单位)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所属区县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(不能为空)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开户银行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(不能为空)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银行账号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(不能为空)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法人代表身份证号码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420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填写规则：所有企业 统一信用代码和组织代码 必须二选一填写；若单位性质为  进出口经营企业，则海关编码必须填写；除统一信用代码、组织代码、海关编码外，其他项都必填。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4204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4204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16"/>
        <w:rPr>
          <w:rFonts w:hint="eastAsia" w:ascii="仿宋_GB2312" w:hAnsi="宋体" w:eastAsia="仿宋_GB2312"/>
          <w:sz w:val="28"/>
          <w:szCs w:val="28"/>
          <w:lang w:val="en-US" w:eastAsia="zh-CN"/>
        </w:rPr>
        <w:sectPr>
          <w:pgSz w:w="16838" w:h="11906" w:orient="landscape"/>
          <w:pgMar w:top="1587" w:right="2098" w:bottom="1474" w:left="1984" w:header="851" w:footer="1417" w:gutter="0"/>
          <w:pgNumType w:fmt="numberInDash"/>
          <w:cols w:space="720" w:num="1"/>
          <w:docGrid w:type="linesAndChars" w:linePitch="596" w:charSpace="-439"/>
        </w:sectPr>
      </w:pPr>
      <w:bookmarkStart w:id="0" w:name="_GoBack"/>
      <w:bookmarkEnd w:id="0"/>
    </w:p>
    <w:p>
      <w:pPr>
        <w:pStyle w:val="3"/>
        <w:ind w:left="0" w:leftChars="0" w:firstLine="0" w:firstLineChars="0"/>
        <w:rPr>
          <w:rFonts w:hint="eastAsia"/>
          <w:lang w:val="en" w:eastAsia="zh-CN"/>
        </w:rPr>
      </w:pPr>
    </w:p>
    <w:sectPr>
      <w:footerReference r:id="rId6" w:type="first"/>
      <w:headerReference r:id="rId4" w:type="default"/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720" w:num="1"/>
      <w:titlePg/>
      <w:rtlGutter w:val="0"/>
      <w:docGrid w:type="linesAndChars" w:linePitch="579" w:charSpace="1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79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316"/>
  <w:drawingGridVerticalSpacing w:val="29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B12E9"/>
    <w:rsid w:val="01A25E3B"/>
    <w:rsid w:val="01F35E36"/>
    <w:rsid w:val="026A3145"/>
    <w:rsid w:val="04090B6B"/>
    <w:rsid w:val="0A9D45D9"/>
    <w:rsid w:val="0D577FAE"/>
    <w:rsid w:val="0E906F9D"/>
    <w:rsid w:val="161A60D2"/>
    <w:rsid w:val="172F3989"/>
    <w:rsid w:val="19B751CA"/>
    <w:rsid w:val="209B12E9"/>
    <w:rsid w:val="23553395"/>
    <w:rsid w:val="270B0DAE"/>
    <w:rsid w:val="293736B6"/>
    <w:rsid w:val="29660AC0"/>
    <w:rsid w:val="2D325B75"/>
    <w:rsid w:val="2F4C7450"/>
    <w:rsid w:val="3487535E"/>
    <w:rsid w:val="3B055C6C"/>
    <w:rsid w:val="3CBD6094"/>
    <w:rsid w:val="496D1DE4"/>
    <w:rsid w:val="4AD17031"/>
    <w:rsid w:val="54471B54"/>
    <w:rsid w:val="54E93A43"/>
    <w:rsid w:val="58231073"/>
    <w:rsid w:val="62897A91"/>
    <w:rsid w:val="6A9060A5"/>
    <w:rsid w:val="6E020CDC"/>
    <w:rsid w:val="71C71285"/>
    <w:rsid w:val="71F80CE4"/>
    <w:rsid w:val="7AA14A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paragraph" w:styleId="4">
    <w:name w:val="heading 1"/>
    <w:basedOn w:val="1"/>
    <w:next w:val="1"/>
    <w:uiPriority w:val="0"/>
    <w:pPr>
      <w:keepNext w:val="0"/>
      <w:keepLines w:val="0"/>
      <w:spacing w:before="0" w:beforeLines="0" w:beforeAutospacing="0" w:after="0" w:afterLines="0" w:afterAutospacing="0" w:line="700" w:lineRule="exact"/>
      <w:jc w:val="center"/>
      <w:outlineLvl w:val="0"/>
    </w:pPr>
    <w:rPr>
      <w:rFonts w:eastAsia="方正小标宋_GBK"/>
      <w:kern w:val="44"/>
      <w:sz w:val="40"/>
    </w:rPr>
  </w:style>
  <w:style w:type="paragraph" w:styleId="5">
    <w:name w:val="heading 2"/>
    <w:basedOn w:val="1"/>
    <w:next w:val="1"/>
    <w:uiPriority w:val="0"/>
    <w:pPr>
      <w:keepNext w:val="0"/>
      <w:keepLines w:val="0"/>
      <w:spacing w:before="0" w:beforeLines="0" w:beforeAutospacing="0" w:after="0" w:afterLines="0" w:afterAutospacing="0" w:line="240" w:lineRule="auto"/>
      <w:ind w:firstLine="630" w:firstLineChars="200"/>
      <w:outlineLvl w:val="1"/>
    </w:pPr>
    <w:rPr>
      <w:rFonts w:ascii="宋体" w:hAnsi="宋体" w:eastAsia="黑体"/>
      <w:sz w:val="31"/>
    </w:rPr>
  </w:style>
  <w:style w:type="paragraph" w:styleId="6">
    <w:name w:val="heading 3"/>
    <w:basedOn w:val="1"/>
    <w:next w:val="1"/>
    <w:uiPriority w:val="0"/>
    <w:pPr>
      <w:keepNext w:val="0"/>
      <w:keepLines w:val="0"/>
      <w:adjustRightInd w:val="0"/>
      <w:spacing w:before="0" w:beforeLines="0" w:beforeAutospacing="0" w:after="0" w:afterLines="0" w:afterAutospacing="0" w:line="240" w:lineRule="auto"/>
      <w:ind w:firstLine="630" w:firstLineChars="200"/>
      <w:outlineLvl w:val="2"/>
    </w:pPr>
    <w:rPr>
      <w:rFonts w:ascii="宋体" w:hAnsi="宋体" w:eastAsia="楷体_GB2312"/>
      <w:b/>
      <w:sz w:val="31"/>
      <w:szCs w:val="24"/>
    </w:rPr>
  </w:style>
  <w:style w:type="character" w:default="1" w:styleId="11">
    <w:name w:val="Default Paragraph Font"/>
    <w:link w:val="12"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Body Text First Indent"/>
    <w:basedOn w:val="2"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Char Char Char Char Char Char Char Char Char Char Char Char Char Char Char Char1 Char Char Char Char"/>
    <w:basedOn w:val="13"/>
    <w:link w:val="11"/>
    <w:qFormat/>
    <w:uiPriority w:val="0"/>
    <w:pPr>
      <w:spacing w:line="360" w:lineRule="auto"/>
      <w:ind w:left="2520" w:leftChars="1260"/>
    </w:pPr>
  </w:style>
  <w:style w:type="paragraph" w:customStyle="1" w:styleId="13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14">
    <w:name w:val="page number"/>
    <w:basedOn w:val="11"/>
    <w:qFormat/>
    <w:uiPriority w:val="0"/>
  </w:style>
  <w:style w:type="character" w:customStyle="1" w:styleId="15">
    <w:name w:val="NormalCharacter"/>
    <w:semiHidden/>
    <w:qFormat/>
    <w:uiPriority w:val="0"/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7">
    <w:name w:val="p0"/>
    <w:basedOn w:val="1"/>
    <w:qFormat/>
    <w:uiPriority w:val="0"/>
    <w:pPr>
      <w:widowControl/>
    </w:pPr>
    <w:rPr>
      <w:rFonts w:hint="default" w:ascii="Times New Roman" w:hAnsi="Times New Roman" w:eastAsia="宋体"/>
      <w:kern w:val="0"/>
      <w:sz w:val="21"/>
      <w:szCs w:val="21"/>
    </w:rPr>
  </w:style>
  <w:style w:type="character" w:customStyle="1" w:styleId="18">
    <w:name w:val="font41"/>
    <w:basedOn w:val="11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paragraph" w:customStyle="1" w:styleId="19">
    <w:name w:val="页眉 New"/>
    <w:basedOn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0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91024YRKV\Desktop\&#26684;&#24335;&#35843;&#25972;\&#20869;&#37096;&#20351;&#29992;\&#26126;&#25919;&#25991;&#21495;%20-%20&#19979;&#34892;&#25991;&#65288;&#26032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明政文号 - 下行文（新）.dot</Template>
  <Pages>8</Pages>
  <Words>3076</Words>
  <Characters>3309</Characters>
  <Lines>2</Lines>
  <Paragraphs>1</Paragraphs>
  <TotalTime>41</TotalTime>
  <ScaleCrop>false</ScaleCrop>
  <LinksUpToDate>false</LinksUpToDate>
  <CharactersWithSpaces>3414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2021-04-27T08:22:00Z</dcterms:created>
  <dc:creator>Administrator</dc:creator>
  <cp:lastModifiedBy>raspberry</cp:lastModifiedBy>
  <cp:lastPrinted>2021-07-16T09:48:00Z</cp:lastPrinted>
  <dcterms:modified xsi:type="dcterms:W3CDTF">2021-07-22T09:22:31Z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550567636_cloud</vt:lpwstr>
  </property>
</Properties>
</file>